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578" w:lineRule="exact"/>
        <w:rPr>
          <w:rFonts w:hint="default" w:ascii="Times New Roman" w:hAnsi="Times New Roman" w:eastAsia="方正小标宋_GBK" w:cs="Times New Roman"/>
          <w:b/>
          <w:bCs/>
        </w:rPr>
      </w:pPr>
      <w:r>
        <w:rPr>
          <w:rFonts w:hint="default" w:ascii="Times New Roman" w:hAnsi="Times New Roman" w:eastAsia="方正小标宋_GBK" w:cs="Times New Roman"/>
          <w:b/>
          <w:bCs/>
        </w:rPr>
        <w:t>附表1</w:t>
      </w:r>
    </w:p>
    <w:tbl>
      <w:tblPr>
        <w:tblStyle w:val="8"/>
        <w:tblW w:w="12743" w:type="dxa"/>
        <w:jc w:val="center"/>
        <w:tblLayout w:type="fixed"/>
        <w:tblCellMar>
          <w:top w:w="15" w:type="dxa"/>
          <w:left w:w="15" w:type="dxa"/>
          <w:bottom w:w="15" w:type="dxa"/>
          <w:right w:w="15" w:type="dxa"/>
        </w:tblCellMar>
      </w:tblPr>
      <w:tblGrid>
        <w:gridCol w:w="1128"/>
        <w:gridCol w:w="1134"/>
        <w:gridCol w:w="1134"/>
        <w:gridCol w:w="3828"/>
        <w:gridCol w:w="992"/>
        <w:gridCol w:w="1276"/>
        <w:gridCol w:w="1134"/>
        <w:gridCol w:w="992"/>
        <w:gridCol w:w="1125"/>
      </w:tblGrid>
      <w:tr>
        <w:tblPrEx>
          <w:tblCellMar>
            <w:top w:w="15" w:type="dxa"/>
            <w:left w:w="15" w:type="dxa"/>
            <w:bottom w:w="15" w:type="dxa"/>
            <w:right w:w="15" w:type="dxa"/>
          </w:tblCellMar>
        </w:tblPrEx>
        <w:trPr>
          <w:trHeight w:val="762" w:hRule="exact"/>
          <w:jc w:val="center"/>
        </w:trPr>
        <w:tc>
          <w:tcPr>
            <w:tcW w:w="12743" w:type="dxa"/>
            <w:gridSpan w:val="9"/>
            <w:shd w:val="clear" w:color="auto" w:fill="auto"/>
            <w:vAlign w:val="center"/>
          </w:tcPr>
          <w:p>
            <w:pPr>
              <w:widowControl/>
              <w:spacing w:after="0" w:line="700" w:lineRule="exact"/>
              <w:jc w:val="center"/>
              <w:textAlignment w:val="center"/>
              <w:rPr>
                <w:rFonts w:hint="default" w:ascii="Times New Roman" w:hAnsi="Times New Roman" w:eastAsia="方正小标宋_GBK" w:cs="Times New Roman"/>
                <w:b/>
                <w:bCs/>
                <w:color w:val="000000"/>
                <w:sz w:val="28"/>
                <w:szCs w:val="28"/>
              </w:rPr>
            </w:pPr>
            <w:bookmarkStart w:id="0" w:name="_GoBack"/>
            <w:r>
              <w:rPr>
                <w:rFonts w:hint="default" w:ascii="Times New Roman" w:hAnsi="Times New Roman" w:eastAsia="方正小标宋_GBK" w:cs="Times New Roman"/>
                <w:b/>
                <w:bCs/>
                <w:color w:val="000000"/>
                <w:kern w:val="0"/>
                <w:sz w:val="44"/>
                <w:szCs w:val="44"/>
                <w:lang w:bidi="ar"/>
              </w:rPr>
              <w:t>部门整体支出绩效目标完成情况自评表</w:t>
            </w:r>
            <w:bookmarkEnd w:id="0"/>
          </w:p>
        </w:tc>
      </w:tr>
      <w:tr>
        <w:tblPrEx>
          <w:tblCellMar>
            <w:top w:w="15" w:type="dxa"/>
            <w:left w:w="15" w:type="dxa"/>
            <w:bottom w:w="15" w:type="dxa"/>
            <w:right w:w="15" w:type="dxa"/>
          </w:tblCellMar>
        </w:tblPrEx>
        <w:trPr>
          <w:trHeight w:val="23" w:hRule="atLeast"/>
          <w:jc w:val="center"/>
        </w:trPr>
        <w:tc>
          <w:tcPr>
            <w:tcW w:w="12743" w:type="dxa"/>
            <w:gridSpan w:val="9"/>
            <w:shd w:val="clear" w:color="auto" w:fill="auto"/>
            <w:vAlign w:val="center"/>
          </w:tcPr>
          <w:p>
            <w:pPr>
              <w:widowControl/>
              <w:spacing w:after="0" w:line="500" w:lineRule="exact"/>
              <w:jc w:val="center"/>
              <w:textAlignment w:val="center"/>
              <w:rPr>
                <w:rFonts w:hint="default" w:ascii="Times New Roman" w:hAnsi="Times New Roman" w:eastAsia="方正楷体_GBK" w:cs="Times New Roman"/>
                <w:color w:val="000000"/>
                <w:sz w:val="28"/>
                <w:szCs w:val="28"/>
              </w:rPr>
            </w:pPr>
            <w:r>
              <w:rPr>
                <w:rFonts w:hint="default" w:ascii="Times New Roman" w:hAnsi="Times New Roman" w:eastAsia="方正楷体_GBK" w:cs="Times New Roman"/>
                <w:color w:val="000000"/>
                <w:kern w:val="0"/>
                <w:sz w:val="28"/>
                <w:szCs w:val="28"/>
                <w:lang w:bidi="ar"/>
              </w:rPr>
              <w:t>（2023年度）</w:t>
            </w:r>
          </w:p>
        </w:tc>
      </w:tr>
      <w:tr>
        <w:tblPrEx>
          <w:tblCellMar>
            <w:top w:w="15" w:type="dxa"/>
            <w:left w:w="15" w:type="dxa"/>
            <w:bottom w:w="15" w:type="dxa"/>
            <w:right w:w="15" w:type="dxa"/>
          </w:tblCellMar>
        </w:tblPrEx>
        <w:trPr>
          <w:trHeight w:val="23" w:hRule="atLeast"/>
          <w:jc w:val="center"/>
        </w:trPr>
        <w:tc>
          <w:tcPr>
            <w:tcW w:w="12743" w:type="dxa"/>
            <w:gridSpan w:val="9"/>
            <w:tcBorders>
              <w:bottom w:val="single" w:color="000000" w:sz="4" w:space="0"/>
            </w:tcBorders>
            <w:shd w:val="clear" w:color="auto" w:fill="auto"/>
            <w:vAlign w:val="center"/>
          </w:tcPr>
          <w:p>
            <w:pPr>
              <w:widowControl/>
              <w:spacing w:after="0" w:line="240" w:lineRule="exact"/>
              <w:jc w:val="right"/>
              <w:textAlignment w:val="center"/>
              <w:rPr>
                <w:rFonts w:hint="default" w:ascii="Times New Roman" w:hAnsi="Times New Roman" w:eastAsia="方正楷体_GBK" w:cs="Times New Roman"/>
                <w:color w:val="000000"/>
                <w:sz w:val="21"/>
                <w:szCs w:val="21"/>
              </w:rPr>
            </w:pPr>
            <w:r>
              <w:rPr>
                <w:rFonts w:hint="default" w:ascii="Times New Roman" w:hAnsi="Times New Roman" w:eastAsia="方正楷体_GBK" w:cs="Times New Roman"/>
                <w:color w:val="000000"/>
                <w:kern w:val="0"/>
                <w:sz w:val="21"/>
                <w:szCs w:val="21"/>
                <w:lang w:bidi="ar"/>
              </w:rPr>
              <w:t>单位：万元</w:t>
            </w:r>
          </w:p>
        </w:tc>
      </w:tr>
      <w:tr>
        <w:tblPrEx>
          <w:tblCellMar>
            <w:top w:w="15" w:type="dxa"/>
            <w:left w:w="15" w:type="dxa"/>
            <w:bottom w:w="15" w:type="dxa"/>
            <w:right w:w="15" w:type="dxa"/>
          </w:tblCellMar>
        </w:tblPrEx>
        <w:trPr>
          <w:trHeight w:val="397" w:hRule="exact"/>
          <w:jc w:val="center"/>
        </w:trPr>
        <w:tc>
          <w:tcPr>
            <w:tcW w:w="33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color w:val="000000"/>
                <w:sz w:val="21"/>
                <w:szCs w:val="21"/>
              </w:rPr>
            </w:pPr>
            <w:r>
              <w:rPr>
                <w:rFonts w:hint="default" w:ascii="Times New Roman" w:hAnsi="Times New Roman" w:eastAsia="方正楷体_GBK" w:cs="Times New Roman"/>
                <w:color w:val="000000"/>
                <w:kern w:val="0"/>
                <w:sz w:val="21"/>
                <w:szCs w:val="21"/>
                <w:lang w:bidi="ar"/>
              </w:rPr>
              <w:t>部门名称</w:t>
            </w:r>
          </w:p>
        </w:tc>
        <w:tc>
          <w:tcPr>
            <w:tcW w:w="934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color w:val="000000"/>
                <w:sz w:val="21"/>
                <w:szCs w:val="21"/>
              </w:rPr>
            </w:pPr>
            <w:r>
              <w:rPr>
                <w:rFonts w:hint="default" w:ascii="Times New Roman" w:hAnsi="Times New Roman" w:eastAsia="方正楷体_GBK" w:cs="Times New Roman"/>
                <w:color w:val="000000"/>
                <w:kern w:val="0"/>
                <w:sz w:val="21"/>
                <w:szCs w:val="21"/>
                <w:lang w:bidi="ar"/>
              </w:rPr>
              <w:t>中共四川省委组织部</w:t>
            </w:r>
          </w:p>
        </w:tc>
      </w:tr>
      <w:tr>
        <w:tblPrEx>
          <w:tblCellMar>
            <w:top w:w="15" w:type="dxa"/>
            <w:left w:w="15" w:type="dxa"/>
            <w:bottom w:w="15" w:type="dxa"/>
            <w:right w:w="15" w:type="dxa"/>
          </w:tblCellMar>
        </w:tblPrEx>
        <w:trPr>
          <w:trHeight w:val="397" w:hRule="exact"/>
          <w:jc w:val="center"/>
        </w:trPr>
        <w:tc>
          <w:tcPr>
            <w:tcW w:w="11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color w:val="000000"/>
                <w:sz w:val="21"/>
                <w:szCs w:val="21"/>
              </w:rPr>
            </w:pPr>
            <w:r>
              <w:rPr>
                <w:rFonts w:hint="default" w:ascii="Times New Roman" w:hAnsi="Times New Roman" w:eastAsia="方正楷体_GBK" w:cs="Times New Roman"/>
                <w:color w:val="000000"/>
                <w:kern w:val="0"/>
                <w:sz w:val="21"/>
                <w:szCs w:val="21"/>
                <w:lang w:bidi="ar"/>
              </w:rPr>
              <w:t>年度部门整体支出预算</w:t>
            </w:r>
          </w:p>
        </w:tc>
        <w:tc>
          <w:tcPr>
            <w:tcW w:w="22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color w:val="000000"/>
                <w:sz w:val="21"/>
                <w:szCs w:val="21"/>
              </w:rPr>
            </w:pPr>
            <w:r>
              <w:rPr>
                <w:rFonts w:hint="default" w:ascii="Times New Roman" w:hAnsi="Times New Roman" w:eastAsia="方正楷体_GBK" w:cs="Times New Roman"/>
                <w:color w:val="000000"/>
                <w:kern w:val="0"/>
                <w:sz w:val="21"/>
                <w:szCs w:val="21"/>
                <w:lang w:bidi="ar"/>
              </w:rPr>
              <w:t>资金总额</w:t>
            </w:r>
          </w:p>
        </w:tc>
        <w:tc>
          <w:tcPr>
            <w:tcW w:w="48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color w:val="000000"/>
                <w:sz w:val="21"/>
                <w:szCs w:val="21"/>
              </w:rPr>
            </w:pPr>
            <w:r>
              <w:rPr>
                <w:rFonts w:hint="default" w:ascii="Times New Roman" w:hAnsi="Times New Roman" w:eastAsia="方正楷体_GBK" w:cs="Times New Roman"/>
                <w:color w:val="000000"/>
                <w:kern w:val="0"/>
                <w:sz w:val="21"/>
                <w:szCs w:val="21"/>
                <w:lang w:bidi="ar"/>
              </w:rPr>
              <w:t>财政拨款</w:t>
            </w:r>
          </w:p>
        </w:tc>
        <w:tc>
          <w:tcPr>
            <w:tcW w:w="452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color w:val="000000"/>
                <w:sz w:val="21"/>
                <w:szCs w:val="21"/>
              </w:rPr>
            </w:pPr>
            <w:r>
              <w:rPr>
                <w:rFonts w:hint="default" w:ascii="Times New Roman" w:hAnsi="Times New Roman" w:eastAsia="方正楷体_GBK" w:cs="Times New Roman"/>
                <w:color w:val="000000"/>
                <w:kern w:val="0"/>
                <w:sz w:val="21"/>
                <w:szCs w:val="21"/>
                <w:lang w:bidi="ar"/>
              </w:rPr>
              <w:t>其他资金</w:t>
            </w:r>
          </w:p>
        </w:tc>
      </w:tr>
      <w:tr>
        <w:tblPrEx>
          <w:tblCellMar>
            <w:top w:w="15" w:type="dxa"/>
            <w:left w:w="15" w:type="dxa"/>
            <w:bottom w:w="15" w:type="dxa"/>
            <w:right w:w="15" w:type="dxa"/>
          </w:tblCellMar>
        </w:tblPrEx>
        <w:trPr>
          <w:trHeight w:val="397" w:hRule="exact"/>
          <w:jc w:val="center"/>
        </w:trPr>
        <w:tc>
          <w:tcPr>
            <w:tcW w:w="11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000000"/>
                <w:sz w:val="21"/>
                <w:szCs w:val="21"/>
              </w:rPr>
            </w:pPr>
          </w:p>
        </w:tc>
        <w:tc>
          <w:tcPr>
            <w:tcW w:w="22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color w:val="000000"/>
                <w:sz w:val="21"/>
                <w:szCs w:val="21"/>
              </w:rPr>
            </w:pPr>
            <w:r>
              <w:rPr>
                <w:rFonts w:hint="default" w:ascii="Times New Roman" w:hAnsi="Times New Roman" w:eastAsia="方正楷体_GBK" w:cs="Times New Roman"/>
                <w:color w:val="000000"/>
                <w:kern w:val="0"/>
                <w:sz w:val="21"/>
                <w:szCs w:val="21"/>
                <w:lang w:bidi="ar"/>
              </w:rPr>
              <w:t>26,537.16</w:t>
            </w:r>
          </w:p>
        </w:tc>
        <w:tc>
          <w:tcPr>
            <w:tcW w:w="48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color w:val="000000"/>
                <w:sz w:val="21"/>
                <w:szCs w:val="21"/>
              </w:rPr>
            </w:pPr>
            <w:r>
              <w:rPr>
                <w:rFonts w:hint="default" w:ascii="Times New Roman" w:hAnsi="Times New Roman" w:eastAsia="方正楷体_GBK" w:cs="Times New Roman"/>
                <w:color w:val="000000"/>
                <w:kern w:val="0"/>
                <w:sz w:val="21"/>
                <w:szCs w:val="21"/>
                <w:lang w:bidi="ar"/>
              </w:rPr>
              <w:t>26,537.16</w:t>
            </w:r>
          </w:p>
        </w:tc>
        <w:tc>
          <w:tcPr>
            <w:tcW w:w="452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color w:val="000000"/>
                <w:sz w:val="21"/>
                <w:szCs w:val="21"/>
              </w:rPr>
            </w:pPr>
          </w:p>
        </w:tc>
      </w:tr>
      <w:tr>
        <w:tblPrEx>
          <w:tblCellMar>
            <w:top w:w="15" w:type="dxa"/>
            <w:left w:w="15" w:type="dxa"/>
            <w:bottom w:w="15" w:type="dxa"/>
            <w:right w:w="15" w:type="dxa"/>
          </w:tblCellMar>
        </w:tblPrEx>
        <w:trPr>
          <w:trHeight w:val="1021" w:hRule="exact"/>
          <w:jc w:val="center"/>
        </w:trPr>
        <w:tc>
          <w:tcPr>
            <w:tcW w:w="11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color w:val="000000"/>
                <w:kern w:val="0"/>
                <w:sz w:val="21"/>
                <w:szCs w:val="21"/>
                <w:lang w:bidi="ar"/>
              </w:rPr>
            </w:pPr>
            <w:r>
              <w:rPr>
                <w:rFonts w:hint="default" w:ascii="Times New Roman" w:hAnsi="Times New Roman" w:eastAsia="方正楷体_GBK" w:cs="Times New Roman"/>
                <w:color w:val="000000"/>
                <w:kern w:val="0"/>
                <w:sz w:val="21"/>
                <w:szCs w:val="21"/>
                <w:lang w:bidi="ar"/>
              </w:rPr>
              <w:t>年度总</w:t>
            </w:r>
          </w:p>
          <w:p>
            <w:pPr>
              <w:widowControl/>
              <w:spacing w:after="0" w:line="240" w:lineRule="exact"/>
              <w:jc w:val="center"/>
              <w:textAlignment w:val="center"/>
              <w:rPr>
                <w:rFonts w:hint="default" w:ascii="Times New Roman" w:hAnsi="Times New Roman" w:eastAsia="方正楷体_GBK" w:cs="Times New Roman"/>
                <w:color w:val="000000"/>
                <w:sz w:val="21"/>
                <w:szCs w:val="21"/>
              </w:rPr>
            </w:pPr>
            <w:r>
              <w:rPr>
                <w:rFonts w:hint="default" w:ascii="Times New Roman" w:hAnsi="Times New Roman" w:eastAsia="方正楷体_GBK" w:cs="Times New Roman"/>
                <w:color w:val="000000"/>
                <w:kern w:val="0"/>
                <w:sz w:val="21"/>
                <w:szCs w:val="21"/>
                <w:lang w:bidi="ar"/>
              </w:rPr>
              <w:t>体目标</w:t>
            </w:r>
          </w:p>
        </w:tc>
        <w:tc>
          <w:tcPr>
            <w:tcW w:w="1161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left"/>
              <w:textAlignment w:val="center"/>
              <w:rPr>
                <w:rFonts w:hint="default" w:ascii="Times New Roman" w:hAnsi="Times New Roman" w:eastAsia="方正楷体_GBK" w:cs="Times New Roman"/>
                <w:color w:val="000000"/>
                <w:sz w:val="21"/>
                <w:szCs w:val="21"/>
              </w:rPr>
            </w:pPr>
            <w:r>
              <w:rPr>
                <w:rFonts w:hint="default" w:ascii="Times New Roman" w:hAnsi="Times New Roman" w:eastAsia="方正楷体_GBK" w:cs="Times New Roman"/>
                <w:color w:val="000000"/>
                <w:kern w:val="0"/>
                <w:sz w:val="21"/>
                <w:szCs w:val="21"/>
                <w:lang w:bidi="ar"/>
              </w:rPr>
              <w:t>坚持把学习宣传贯彻党的二十大精神作为当前和今后一个时期的首要政治任务，认真落实省第十二次党代会部署要求，坚持科学方法、发扬斗争精神、坚定笃行实干，推动新征程上全省组织工作展现新气象新作为，为全面建设社会主义现代化四川贡献新的更大组织力量。</w:t>
            </w:r>
          </w:p>
        </w:tc>
      </w:tr>
      <w:tr>
        <w:tblPrEx>
          <w:tblCellMar>
            <w:top w:w="15" w:type="dxa"/>
            <w:left w:w="15" w:type="dxa"/>
            <w:bottom w:w="15" w:type="dxa"/>
            <w:right w:w="15" w:type="dxa"/>
          </w:tblCellMar>
        </w:tblPrEx>
        <w:trPr>
          <w:trHeight w:val="397" w:hRule="exact"/>
          <w:jc w:val="center"/>
        </w:trPr>
        <w:tc>
          <w:tcPr>
            <w:tcW w:w="11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color w:val="000000"/>
                <w:kern w:val="0"/>
                <w:sz w:val="21"/>
                <w:szCs w:val="21"/>
                <w:lang w:bidi="ar"/>
              </w:rPr>
            </w:pPr>
            <w:r>
              <w:rPr>
                <w:rFonts w:hint="default" w:ascii="Times New Roman" w:hAnsi="Times New Roman" w:eastAsia="方正楷体_GBK" w:cs="Times New Roman"/>
                <w:color w:val="000000"/>
                <w:kern w:val="0"/>
                <w:sz w:val="21"/>
                <w:szCs w:val="21"/>
                <w:lang w:bidi="ar"/>
              </w:rPr>
              <w:t>年度主</w:t>
            </w:r>
          </w:p>
          <w:p>
            <w:pPr>
              <w:widowControl/>
              <w:spacing w:after="0" w:line="240" w:lineRule="exact"/>
              <w:jc w:val="center"/>
              <w:textAlignment w:val="center"/>
              <w:rPr>
                <w:rFonts w:hint="default" w:ascii="Times New Roman" w:hAnsi="Times New Roman" w:eastAsia="方正楷体_GBK" w:cs="Times New Roman"/>
                <w:color w:val="000000"/>
                <w:sz w:val="21"/>
                <w:szCs w:val="21"/>
              </w:rPr>
            </w:pPr>
            <w:r>
              <w:rPr>
                <w:rFonts w:hint="default" w:ascii="Times New Roman" w:hAnsi="Times New Roman" w:eastAsia="方正楷体_GBK" w:cs="Times New Roman"/>
                <w:color w:val="000000"/>
                <w:kern w:val="0"/>
                <w:sz w:val="21"/>
                <w:szCs w:val="21"/>
                <w:lang w:bidi="ar"/>
              </w:rPr>
              <w:t>要任务</w:t>
            </w:r>
          </w:p>
        </w:tc>
        <w:tc>
          <w:tcPr>
            <w:tcW w:w="22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color w:val="000000"/>
                <w:sz w:val="21"/>
                <w:szCs w:val="21"/>
              </w:rPr>
            </w:pPr>
            <w:r>
              <w:rPr>
                <w:rFonts w:hint="default" w:ascii="Times New Roman" w:hAnsi="Times New Roman" w:eastAsia="方正楷体_GBK" w:cs="Times New Roman"/>
                <w:color w:val="000000"/>
                <w:kern w:val="0"/>
                <w:sz w:val="21"/>
                <w:szCs w:val="21"/>
                <w:lang w:bidi="ar"/>
              </w:rPr>
              <w:t>任务名称</w:t>
            </w:r>
          </w:p>
        </w:tc>
        <w:tc>
          <w:tcPr>
            <w:tcW w:w="934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color w:val="000000"/>
                <w:sz w:val="21"/>
                <w:szCs w:val="21"/>
              </w:rPr>
            </w:pPr>
            <w:r>
              <w:rPr>
                <w:rFonts w:hint="default" w:ascii="Times New Roman" w:hAnsi="Times New Roman" w:eastAsia="方正楷体_GBK" w:cs="Times New Roman"/>
                <w:color w:val="000000"/>
                <w:kern w:val="0"/>
                <w:sz w:val="21"/>
                <w:szCs w:val="21"/>
                <w:lang w:bidi="ar"/>
              </w:rPr>
              <w:t>主要内容</w:t>
            </w:r>
          </w:p>
        </w:tc>
      </w:tr>
      <w:tr>
        <w:tblPrEx>
          <w:tblCellMar>
            <w:top w:w="15" w:type="dxa"/>
            <w:left w:w="15" w:type="dxa"/>
            <w:bottom w:w="15" w:type="dxa"/>
            <w:right w:w="15" w:type="dxa"/>
          </w:tblCellMar>
        </w:tblPrEx>
        <w:trPr>
          <w:trHeight w:val="397" w:hRule="exact"/>
          <w:jc w:val="center"/>
        </w:trPr>
        <w:tc>
          <w:tcPr>
            <w:tcW w:w="11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000000"/>
                <w:sz w:val="21"/>
                <w:szCs w:val="21"/>
              </w:rPr>
            </w:pPr>
          </w:p>
        </w:tc>
        <w:tc>
          <w:tcPr>
            <w:tcW w:w="22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left"/>
              <w:textAlignment w:val="center"/>
              <w:rPr>
                <w:rFonts w:hint="default" w:ascii="Times New Roman" w:hAnsi="Times New Roman" w:eastAsia="方正楷体_GBK" w:cs="Times New Roman"/>
                <w:color w:val="000000"/>
                <w:kern w:val="0"/>
                <w:sz w:val="21"/>
                <w:szCs w:val="21"/>
                <w:lang w:bidi="ar"/>
              </w:rPr>
            </w:pPr>
            <w:r>
              <w:rPr>
                <w:rFonts w:hint="default" w:ascii="Times New Roman" w:hAnsi="Times New Roman" w:eastAsia="方正楷体_GBK" w:cs="Times New Roman"/>
                <w:color w:val="000000"/>
                <w:sz w:val="21"/>
                <w:szCs w:val="21"/>
              </w:rPr>
              <w:t>选优配强各级领导班子</w:t>
            </w:r>
          </w:p>
        </w:tc>
        <w:tc>
          <w:tcPr>
            <w:tcW w:w="934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left"/>
              <w:textAlignment w:val="center"/>
              <w:rPr>
                <w:rFonts w:hint="default" w:ascii="Times New Roman" w:hAnsi="Times New Roman" w:eastAsia="方正楷体_GBK" w:cs="Times New Roman"/>
                <w:color w:val="000000"/>
                <w:kern w:val="0"/>
                <w:sz w:val="21"/>
                <w:szCs w:val="21"/>
                <w:lang w:bidi="ar"/>
              </w:rPr>
            </w:pPr>
            <w:r>
              <w:rPr>
                <w:rFonts w:hint="default" w:ascii="Times New Roman" w:hAnsi="Times New Roman" w:eastAsia="方正楷体_GBK" w:cs="Times New Roman"/>
                <w:color w:val="000000"/>
                <w:sz w:val="21"/>
                <w:szCs w:val="21"/>
              </w:rPr>
              <w:t>强化干部斗争本领和领导现代化建设能力培养，建设堪当新时代治蜀兴川重任的高素质干部队伍。</w:t>
            </w:r>
          </w:p>
        </w:tc>
      </w:tr>
      <w:tr>
        <w:tblPrEx>
          <w:tblCellMar>
            <w:top w:w="15" w:type="dxa"/>
            <w:left w:w="15" w:type="dxa"/>
            <w:bottom w:w="15" w:type="dxa"/>
            <w:right w:w="15" w:type="dxa"/>
          </w:tblCellMar>
        </w:tblPrEx>
        <w:trPr>
          <w:trHeight w:val="680" w:hRule="exact"/>
          <w:jc w:val="center"/>
        </w:trPr>
        <w:tc>
          <w:tcPr>
            <w:tcW w:w="11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000000"/>
                <w:sz w:val="21"/>
                <w:szCs w:val="21"/>
              </w:rPr>
            </w:pPr>
          </w:p>
        </w:tc>
        <w:tc>
          <w:tcPr>
            <w:tcW w:w="22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left"/>
              <w:textAlignment w:val="center"/>
              <w:rPr>
                <w:rFonts w:hint="default" w:ascii="Times New Roman" w:hAnsi="Times New Roman" w:eastAsia="方正楷体_GBK" w:cs="Times New Roman"/>
                <w:color w:val="000000"/>
                <w:kern w:val="0"/>
                <w:sz w:val="21"/>
                <w:szCs w:val="21"/>
                <w:lang w:bidi="ar"/>
              </w:rPr>
            </w:pPr>
            <w:r>
              <w:rPr>
                <w:rFonts w:hint="default" w:ascii="Times New Roman" w:hAnsi="Times New Roman" w:eastAsia="方正楷体_GBK" w:cs="Times New Roman"/>
                <w:color w:val="000000"/>
                <w:sz w:val="21"/>
                <w:szCs w:val="21"/>
              </w:rPr>
              <w:t>增强党组织政治功能和组织功能</w:t>
            </w:r>
          </w:p>
        </w:tc>
        <w:tc>
          <w:tcPr>
            <w:tcW w:w="934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left"/>
              <w:textAlignment w:val="center"/>
              <w:rPr>
                <w:rFonts w:hint="default" w:ascii="Times New Roman" w:hAnsi="Times New Roman" w:eastAsia="方正楷体_GBK" w:cs="Times New Roman"/>
                <w:color w:val="000000"/>
                <w:kern w:val="0"/>
                <w:sz w:val="21"/>
                <w:szCs w:val="21"/>
                <w:lang w:bidi="ar"/>
              </w:rPr>
            </w:pPr>
            <w:r>
              <w:rPr>
                <w:rFonts w:hint="default" w:ascii="Times New Roman" w:hAnsi="Times New Roman" w:eastAsia="方正楷体_GBK" w:cs="Times New Roman"/>
                <w:color w:val="000000"/>
                <w:sz w:val="21"/>
                <w:szCs w:val="21"/>
              </w:rPr>
              <w:t>突出重点群体发展党员，推动完善各领域党员发展制度机制；突出先进典型激励引导；激发农村基层党组织抓乡村振兴积极性主动性。</w:t>
            </w:r>
          </w:p>
        </w:tc>
      </w:tr>
      <w:tr>
        <w:tblPrEx>
          <w:tblCellMar>
            <w:top w:w="15" w:type="dxa"/>
            <w:left w:w="15" w:type="dxa"/>
            <w:bottom w:w="15" w:type="dxa"/>
            <w:right w:w="15" w:type="dxa"/>
          </w:tblCellMar>
        </w:tblPrEx>
        <w:trPr>
          <w:trHeight w:val="1021" w:hRule="exact"/>
          <w:jc w:val="center"/>
        </w:trPr>
        <w:tc>
          <w:tcPr>
            <w:tcW w:w="11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000000"/>
                <w:sz w:val="21"/>
                <w:szCs w:val="21"/>
              </w:rPr>
            </w:pPr>
          </w:p>
        </w:tc>
        <w:tc>
          <w:tcPr>
            <w:tcW w:w="22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left"/>
              <w:textAlignment w:val="center"/>
              <w:rPr>
                <w:rFonts w:hint="default" w:ascii="Times New Roman" w:hAnsi="Times New Roman" w:eastAsia="方正楷体_GBK" w:cs="Times New Roman"/>
                <w:color w:val="000000"/>
                <w:kern w:val="0"/>
                <w:sz w:val="21"/>
                <w:szCs w:val="21"/>
                <w:lang w:bidi="ar"/>
              </w:rPr>
            </w:pPr>
            <w:r>
              <w:rPr>
                <w:rFonts w:hint="default" w:ascii="Times New Roman" w:hAnsi="Times New Roman" w:eastAsia="方正楷体_GBK" w:cs="Times New Roman"/>
                <w:color w:val="000000"/>
                <w:sz w:val="21"/>
                <w:szCs w:val="21"/>
              </w:rPr>
              <w:t>加强和改进公务员工作</w:t>
            </w:r>
          </w:p>
        </w:tc>
        <w:tc>
          <w:tcPr>
            <w:tcW w:w="934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left"/>
              <w:textAlignment w:val="center"/>
              <w:rPr>
                <w:rFonts w:hint="default" w:ascii="Times New Roman" w:hAnsi="Times New Roman" w:eastAsia="方正楷体_GBK" w:cs="Times New Roman"/>
                <w:color w:val="000000"/>
                <w:kern w:val="0"/>
                <w:sz w:val="21"/>
                <w:szCs w:val="21"/>
                <w:lang w:bidi="ar"/>
              </w:rPr>
            </w:pPr>
            <w:r>
              <w:rPr>
                <w:rFonts w:hint="default" w:ascii="Times New Roman" w:hAnsi="Times New Roman" w:eastAsia="方正楷体_GBK" w:cs="Times New Roman"/>
                <w:color w:val="000000"/>
                <w:sz w:val="21"/>
                <w:szCs w:val="21"/>
              </w:rPr>
              <w:t>持续提升公务员考核质量，让考核更好地“区分优劣、奖优罚劣、激励担当、促进发展”；加大公务员先进典型选树力度，加强对基层干部尤其是条件艰苦恶劣地区干部的待遇保障和关心关爱；做好省直机关集中遴选、市（州）直机关统筹遴选，抓好急需紧缺专业选调生招录等工作。</w:t>
            </w:r>
          </w:p>
        </w:tc>
      </w:tr>
      <w:tr>
        <w:tblPrEx>
          <w:tblCellMar>
            <w:top w:w="15" w:type="dxa"/>
            <w:left w:w="15" w:type="dxa"/>
            <w:bottom w:w="15" w:type="dxa"/>
            <w:right w:w="15" w:type="dxa"/>
          </w:tblCellMar>
        </w:tblPrEx>
        <w:trPr>
          <w:trHeight w:val="624" w:hRule="exact"/>
          <w:jc w:val="center"/>
        </w:trPr>
        <w:tc>
          <w:tcPr>
            <w:tcW w:w="11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000000"/>
                <w:sz w:val="21"/>
                <w:szCs w:val="21"/>
              </w:rPr>
            </w:pPr>
          </w:p>
        </w:tc>
        <w:tc>
          <w:tcPr>
            <w:tcW w:w="22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left"/>
              <w:textAlignment w:val="center"/>
              <w:rPr>
                <w:rFonts w:hint="default" w:ascii="Times New Roman" w:hAnsi="Times New Roman" w:eastAsia="方正楷体_GBK" w:cs="Times New Roman"/>
                <w:color w:val="000000"/>
                <w:kern w:val="0"/>
                <w:sz w:val="21"/>
                <w:szCs w:val="21"/>
                <w:lang w:bidi="ar"/>
              </w:rPr>
            </w:pPr>
            <w:r>
              <w:rPr>
                <w:rFonts w:hint="default" w:ascii="Times New Roman" w:hAnsi="Times New Roman" w:eastAsia="方正楷体_GBK" w:cs="Times New Roman"/>
                <w:color w:val="000000"/>
                <w:sz w:val="21"/>
                <w:szCs w:val="21"/>
              </w:rPr>
              <w:t>深化人才发展体制机制改革</w:t>
            </w:r>
          </w:p>
        </w:tc>
        <w:tc>
          <w:tcPr>
            <w:tcW w:w="934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left"/>
              <w:textAlignment w:val="center"/>
              <w:rPr>
                <w:rFonts w:hint="default" w:ascii="Times New Roman" w:hAnsi="Times New Roman" w:eastAsia="方正楷体_GBK" w:cs="Times New Roman"/>
                <w:color w:val="000000"/>
                <w:kern w:val="0"/>
                <w:sz w:val="21"/>
                <w:szCs w:val="21"/>
                <w:lang w:bidi="ar"/>
              </w:rPr>
            </w:pPr>
            <w:r>
              <w:rPr>
                <w:rFonts w:hint="default" w:ascii="Times New Roman" w:hAnsi="Times New Roman" w:eastAsia="方正楷体_GBK" w:cs="Times New Roman"/>
                <w:color w:val="000000"/>
                <w:sz w:val="21"/>
                <w:szCs w:val="21"/>
              </w:rPr>
              <w:t>实施重点人才特殊支持政策，开展人才管理授权规范试点，推动人才管理服务方式迭代升级，加强人才工作先行区建设。</w:t>
            </w:r>
          </w:p>
        </w:tc>
      </w:tr>
      <w:tr>
        <w:tblPrEx>
          <w:tblCellMar>
            <w:top w:w="15" w:type="dxa"/>
            <w:left w:w="15" w:type="dxa"/>
            <w:bottom w:w="15" w:type="dxa"/>
            <w:right w:w="15" w:type="dxa"/>
          </w:tblCellMar>
        </w:tblPrEx>
        <w:trPr>
          <w:trHeight w:val="624" w:hRule="exact"/>
          <w:jc w:val="center"/>
        </w:trPr>
        <w:tc>
          <w:tcPr>
            <w:tcW w:w="11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000000"/>
                <w:sz w:val="21"/>
                <w:szCs w:val="21"/>
              </w:rPr>
            </w:pPr>
          </w:p>
        </w:tc>
        <w:tc>
          <w:tcPr>
            <w:tcW w:w="22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left"/>
              <w:textAlignment w:val="center"/>
              <w:rPr>
                <w:rFonts w:hint="default" w:ascii="Times New Roman" w:hAnsi="Times New Roman" w:eastAsia="方正楷体_GBK" w:cs="Times New Roman"/>
                <w:color w:val="000000"/>
                <w:kern w:val="0"/>
                <w:sz w:val="21"/>
                <w:szCs w:val="21"/>
                <w:lang w:bidi="ar"/>
              </w:rPr>
            </w:pPr>
            <w:r>
              <w:rPr>
                <w:rFonts w:hint="default" w:ascii="Times New Roman" w:hAnsi="Times New Roman" w:eastAsia="方正楷体_GBK" w:cs="Times New Roman"/>
                <w:color w:val="000000"/>
                <w:sz w:val="21"/>
                <w:szCs w:val="21"/>
              </w:rPr>
              <w:t>深入开展党的二十大精神学习培训</w:t>
            </w:r>
          </w:p>
        </w:tc>
        <w:tc>
          <w:tcPr>
            <w:tcW w:w="934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left"/>
              <w:textAlignment w:val="center"/>
              <w:rPr>
                <w:rFonts w:hint="default" w:ascii="Times New Roman" w:hAnsi="Times New Roman" w:eastAsia="方正楷体_GBK" w:cs="Times New Roman"/>
                <w:color w:val="000000"/>
                <w:kern w:val="0"/>
                <w:sz w:val="21"/>
                <w:szCs w:val="21"/>
                <w:lang w:bidi="ar"/>
              </w:rPr>
            </w:pPr>
            <w:r>
              <w:rPr>
                <w:rFonts w:hint="default" w:ascii="Times New Roman" w:hAnsi="Times New Roman" w:eastAsia="方正楷体_GBK" w:cs="Times New Roman"/>
                <w:color w:val="000000"/>
                <w:sz w:val="21"/>
                <w:szCs w:val="21"/>
              </w:rPr>
              <w:t>抓好党的二十大和省委十二届二次全会精神全员轮训，举办省级领导干部和市厅级主要负责同志读书班、市厅级领导干部专题培训班，开展县级以上领导干部集中轮训等。</w:t>
            </w:r>
          </w:p>
        </w:tc>
      </w:tr>
      <w:tr>
        <w:tblPrEx>
          <w:tblCellMar>
            <w:top w:w="15" w:type="dxa"/>
            <w:left w:w="15" w:type="dxa"/>
            <w:bottom w:w="15" w:type="dxa"/>
            <w:right w:w="15" w:type="dxa"/>
          </w:tblCellMar>
        </w:tblPrEx>
        <w:trPr>
          <w:trHeight w:val="1021" w:hRule="exact"/>
          <w:jc w:val="center"/>
        </w:trPr>
        <w:tc>
          <w:tcPr>
            <w:tcW w:w="11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000000"/>
                <w:sz w:val="21"/>
                <w:szCs w:val="21"/>
              </w:rPr>
            </w:pPr>
          </w:p>
        </w:tc>
        <w:tc>
          <w:tcPr>
            <w:tcW w:w="22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left"/>
              <w:textAlignment w:val="center"/>
              <w:rPr>
                <w:rFonts w:hint="default" w:ascii="Times New Roman" w:hAnsi="Times New Roman" w:eastAsia="方正楷体_GBK" w:cs="Times New Roman"/>
                <w:color w:val="000000"/>
                <w:sz w:val="21"/>
                <w:szCs w:val="21"/>
              </w:rPr>
            </w:pPr>
            <w:r>
              <w:rPr>
                <w:rFonts w:hint="default" w:ascii="Times New Roman" w:hAnsi="Times New Roman" w:eastAsia="方正楷体_GBK" w:cs="Times New Roman"/>
                <w:color w:val="000000"/>
                <w:sz w:val="21"/>
                <w:szCs w:val="21"/>
              </w:rPr>
              <w:t>启动实施习近平新时代中国特色社会主义思想凝心铸魂计划</w:t>
            </w:r>
          </w:p>
        </w:tc>
        <w:tc>
          <w:tcPr>
            <w:tcW w:w="934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left"/>
              <w:textAlignment w:val="center"/>
              <w:rPr>
                <w:rFonts w:hint="default" w:ascii="Times New Roman" w:hAnsi="Times New Roman" w:eastAsia="方正楷体_GBK" w:cs="Times New Roman"/>
                <w:color w:val="000000"/>
                <w:sz w:val="21"/>
                <w:szCs w:val="21"/>
              </w:rPr>
            </w:pPr>
            <w:r>
              <w:rPr>
                <w:rFonts w:hint="default" w:ascii="Times New Roman" w:hAnsi="Times New Roman" w:eastAsia="方正楷体_GBK" w:cs="Times New Roman"/>
                <w:color w:val="000000"/>
                <w:sz w:val="21"/>
                <w:szCs w:val="21"/>
              </w:rPr>
              <w:t>研究出台实施习近平新时代中国特色社会主义思想凝心铸魂计划的意见，持续办好党校主体班、重点专题班、党史党性教育培训班、中青年干部培训班等。</w:t>
            </w:r>
          </w:p>
        </w:tc>
      </w:tr>
      <w:tr>
        <w:tblPrEx>
          <w:tblCellMar>
            <w:top w:w="15" w:type="dxa"/>
            <w:left w:w="15" w:type="dxa"/>
            <w:bottom w:w="15" w:type="dxa"/>
            <w:right w:w="15" w:type="dxa"/>
          </w:tblCellMar>
        </w:tblPrEx>
        <w:trPr>
          <w:trHeight w:val="680" w:hRule="exact"/>
          <w:jc w:val="center"/>
        </w:trPr>
        <w:tc>
          <w:tcPr>
            <w:tcW w:w="11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color w:val="000000"/>
                <w:kern w:val="0"/>
                <w:sz w:val="21"/>
                <w:szCs w:val="21"/>
                <w:lang w:bidi="ar"/>
              </w:rPr>
            </w:pPr>
            <w:r>
              <w:rPr>
                <w:rFonts w:hint="default" w:ascii="Times New Roman" w:hAnsi="Times New Roman" w:eastAsia="方正楷体_GBK" w:cs="Times New Roman"/>
                <w:color w:val="000000"/>
                <w:kern w:val="0"/>
                <w:sz w:val="21"/>
                <w:szCs w:val="21"/>
                <w:lang w:bidi="ar"/>
              </w:rPr>
              <w:t>年度绩</w:t>
            </w:r>
          </w:p>
          <w:p>
            <w:pPr>
              <w:widowControl/>
              <w:spacing w:after="0" w:line="240" w:lineRule="exact"/>
              <w:jc w:val="center"/>
              <w:textAlignment w:val="center"/>
              <w:rPr>
                <w:rFonts w:hint="default" w:ascii="Times New Roman" w:hAnsi="Times New Roman" w:eastAsia="方正楷体_GBK" w:cs="Times New Roman"/>
                <w:color w:val="000000"/>
                <w:sz w:val="21"/>
                <w:szCs w:val="21"/>
              </w:rPr>
            </w:pPr>
            <w:r>
              <w:rPr>
                <w:rFonts w:hint="default" w:ascii="Times New Roman" w:hAnsi="Times New Roman" w:eastAsia="方正楷体_GBK" w:cs="Times New Roman"/>
                <w:color w:val="000000"/>
                <w:kern w:val="0"/>
                <w:sz w:val="21"/>
                <w:szCs w:val="21"/>
                <w:lang w:bidi="ar"/>
              </w:rPr>
              <w:t>效指标</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color w:val="000000"/>
                <w:kern w:val="0"/>
                <w:sz w:val="21"/>
                <w:szCs w:val="21"/>
                <w:lang w:bidi="ar"/>
              </w:rPr>
            </w:pPr>
            <w:r>
              <w:rPr>
                <w:rFonts w:hint="default" w:ascii="Times New Roman" w:hAnsi="Times New Roman" w:eastAsia="方正楷体_GBK" w:cs="Times New Roman"/>
                <w:color w:val="000000"/>
                <w:kern w:val="0"/>
                <w:sz w:val="21"/>
                <w:szCs w:val="21"/>
                <w:lang w:bidi="ar"/>
              </w:rPr>
              <w:t>一级</w:t>
            </w:r>
          </w:p>
          <w:p>
            <w:pPr>
              <w:widowControl/>
              <w:spacing w:after="0" w:line="240" w:lineRule="exact"/>
              <w:jc w:val="center"/>
              <w:textAlignment w:val="center"/>
              <w:rPr>
                <w:rFonts w:hint="default" w:ascii="Times New Roman" w:hAnsi="Times New Roman" w:eastAsia="方正楷体_GBK" w:cs="Times New Roman"/>
                <w:color w:val="000000"/>
                <w:sz w:val="21"/>
                <w:szCs w:val="21"/>
              </w:rPr>
            </w:pPr>
            <w:r>
              <w:rPr>
                <w:rFonts w:hint="default" w:ascii="Times New Roman" w:hAnsi="Times New Roman" w:eastAsia="方正楷体_GBK" w:cs="Times New Roman"/>
                <w:color w:val="000000"/>
                <w:kern w:val="0"/>
                <w:sz w:val="21"/>
                <w:szCs w:val="21"/>
                <w:lang w:bidi="ar"/>
              </w:rPr>
              <w:t>指标</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color w:val="000000"/>
                <w:kern w:val="0"/>
                <w:sz w:val="21"/>
                <w:szCs w:val="21"/>
                <w:lang w:bidi="ar"/>
              </w:rPr>
            </w:pPr>
            <w:r>
              <w:rPr>
                <w:rFonts w:hint="default" w:ascii="Times New Roman" w:hAnsi="Times New Roman" w:eastAsia="方正楷体_GBK" w:cs="Times New Roman"/>
                <w:color w:val="000000"/>
                <w:kern w:val="0"/>
                <w:sz w:val="21"/>
                <w:szCs w:val="21"/>
                <w:lang w:bidi="ar"/>
              </w:rPr>
              <w:t>二级</w:t>
            </w:r>
          </w:p>
          <w:p>
            <w:pPr>
              <w:widowControl/>
              <w:spacing w:after="0" w:line="240" w:lineRule="exact"/>
              <w:jc w:val="center"/>
              <w:textAlignment w:val="center"/>
              <w:rPr>
                <w:rFonts w:hint="default" w:ascii="Times New Roman" w:hAnsi="Times New Roman" w:eastAsia="方正楷体_GBK" w:cs="Times New Roman"/>
                <w:color w:val="000000"/>
                <w:sz w:val="21"/>
                <w:szCs w:val="21"/>
              </w:rPr>
            </w:pPr>
            <w:r>
              <w:rPr>
                <w:rFonts w:hint="default" w:ascii="Times New Roman" w:hAnsi="Times New Roman" w:eastAsia="方正楷体_GBK" w:cs="Times New Roman"/>
                <w:color w:val="000000"/>
                <w:kern w:val="0"/>
                <w:sz w:val="21"/>
                <w:szCs w:val="21"/>
                <w:lang w:bidi="ar"/>
              </w:rPr>
              <w:t>指标</w:t>
            </w:r>
          </w:p>
        </w:tc>
        <w:tc>
          <w:tcPr>
            <w:tcW w:w="3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color w:val="000000"/>
                <w:sz w:val="21"/>
                <w:szCs w:val="21"/>
              </w:rPr>
            </w:pPr>
            <w:r>
              <w:rPr>
                <w:rFonts w:hint="default" w:ascii="Times New Roman" w:hAnsi="Times New Roman" w:eastAsia="方正楷体_GBK" w:cs="Times New Roman"/>
                <w:color w:val="000000"/>
                <w:kern w:val="0"/>
                <w:sz w:val="21"/>
                <w:szCs w:val="21"/>
                <w:lang w:bidi="ar"/>
              </w:rPr>
              <w:t>三级指标</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color w:val="000000"/>
                <w:kern w:val="0"/>
                <w:sz w:val="21"/>
                <w:szCs w:val="21"/>
                <w:lang w:bidi="ar"/>
              </w:rPr>
            </w:pPr>
            <w:r>
              <w:rPr>
                <w:rFonts w:hint="default" w:ascii="Times New Roman" w:hAnsi="Times New Roman" w:eastAsia="方正楷体_GBK" w:cs="Times New Roman"/>
                <w:color w:val="000000"/>
                <w:kern w:val="0"/>
                <w:sz w:val="21"/>
                <w:szCs w:val="21"/>
                <w:lang w:bidi="ar"/>
              </w:rPr>
              <w:t>绩效指</w:t>
            </w:r>
          </w:p>
          <w:p>
            <w:pPr>
              <w:widowControl/>
              <w:spacing w:after="0" w:line="240" w:lineRule="exact"/>
              <w:jc w:val="center"/>
              <w:textAlignment w:val="center"/>
              <w:rPr>
                <w:rFonts w:hint="default" w:ascii="Times New Roman" w:hAnsi="Times New Roman" w:eastAsia="方正楷体_GBK" w:cs="Times New Roman"/>
                <w:color w:val="000000"/>
                <w:sz w:val="21"/>
                <w:szCs w:val="21"/>
              </w:rPr>
            </w:pPr>
            <w:r>
              <w:rPr>
                <w:rFonts w:hint="default" w:ascii="Times New Roman" w:hAnsi="Times New Roman" w:eastAsia="方正楷体_GBK" w:cs="Times New Roman"/>
                <w:color w:val="000000"/>
                <w:kern w:val="0"/>
                <w:sz w:val="21"/>
                <w:szCs w:val="21"/>
                <w:lang w:bidi="ar"/>
              </w:rPr>
              <w:t>标性质</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color w:val="000000"/>
                <w:kern w:val="0"/>
                <w:sz w:val="21"/>
                <w:szCs w:val="21"/>
                <w:lang w:bidi="ar"/>
              </w:rPr>
            </w:pPr>
            <w:r>
              <w:rPr>
                <w:rFonts w:hint="default" w:ascii="Times New Roman" w:hAnsi="Times New Roman" w:eastAsia="方正楷体_GBK" w:cs="Times New Roman"/>
                <w:color w:val="000000"/>
                <w:kern w:val="0"/>
                <w:sz w:val="21"/>
                <w:szCs w:val="21"/>
                <w:lang w:bidi="ar"/>
              </w:rPr>
              <w:t>绩效</w:t>
            </w:r>
          </w:p>
          <w:p>
            <w:pPr>
              <w:widowControl/>
              <w:spacing w:after="0" w:line="240" w:lineRule="exact"/>
              <w:jc w:val="center"/>
              <w:textAlignment w:val="center"/>
              <w:rPr>
                <w:rFonts w:hint="default" w:ascii="Times New Roman" w:hAnsi="Times New Roman" w:eastAsia="方正楷体_GBK" w:cs="Times New Roman"/>
                <w:color w:val="000000"/>
                <w:sz w:val="21"/>
                <w:szCs w:val="21"/>
              </w:rPr>
            </w:pPr>
            <w:r>
              <w:rPr>
                <w:rFonts w:hint="default" w:ascii="Times New Roman" w:hAnsi="Times New Roman" w:eastAsia="方正楷体_GBK" w:cs="Times New Roman"/>
                <w:color w:val="000000"/>
                <w:kern w:val="0"/>
                <w:sz w:val="21"/>
                <w:szCs w:val="21"/>
                <w:lang w:bidi="ar"/>
              </w:rPr>
              <w:t>指标值</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color w:val="000000"/>
                <w:kern w:val="0"/>
                <w:sz w:val="21"/>
                <w:szCs w:val="21"/>
                <w:lang w:bidi="ar"/>
              </w:rPr>
            </w:pPr>
            <w:r>
              <w:rPr>
                <w:rFonts w:hint="default" w:ascii="Times New Roman" w:hAnsi="Times New Roman" w:eastAsia="方正楷体_GBK" w:cs="Times New Roman"/>
                <w:color w:val="000000"/>
                <w:kern w:val="0"/>
                <w:sz w:val="21"/>
                <w:szCs w:val="21"/>
                <w:lang w:bidi="ar"/>
              </w:rPr>
              <w:t>绩效度</w:t>
            </w:r>
          </w:p>
          <w:p>
            <w:pPr>
              <w:widowControl/>
              <w:spacing w:after="0" w:line="240" w:lineRule="exact"/>
              <w:jc w:val="center"/>
              <w:textAlignment w:val="center"/>
              <w:rPr>
                <w:rFonts w:hint="default" w:ascii="Times New Roman" w:hAnsi="Times New Roman" w:eastAsia="方正楷体_GBK" w:cs="Times New Roman"/>
                <w:color w:val="000000"/>
                <w:sz w:val="21"/>
                <w:szCs w:val="21"/>
              </w:rPr>
            </w:pPr>
            <w:r>
              <w:rPr>
                <w:rFonts w:hint="default" w:ascii="Times New Roman" w:hAnsi="Times New Roman" w:eastAsia="方正楷体_GBK" w:cs="Times New Roman"/>
                <w:color w:val="000000"/>
                <w:kern w:val="0"/>
                <w:sz w:val="21"/>
                <w:szCs w:val="21"/>
                <w:lang w:bidi="ar"/>
              </w:rPr>
              <w:t>量单位</w:t>
            </w:r>
          </w:p>
        </w:tc>
        <w:tc>
          <w:tcPr>
            <w:tcW w:w="992" w:type="dxa"/>
            <w:tcBorders>
              <w:top w:val="single" w:color="000000" w:sz="4" w:space="0"/>
              <w:left w:val="single" w:color="000000" w:sz="4" w:space="0"/>
              <w:bottom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color w:val="000000"/>
                <w:sz w:val="21"/>
                <w:szCs w:val="21"/>
              </w:rPr>
            </w:pPr>
            <w:r>
              <w:rPr>
                <w:rFonts w:hint="default" w:ascii="Times New Roman" w:hAnsi="Times New Roman" w:eastAsia="方正楷体_GBK" w:cs="Times New Roman"/>
                <w:color w:val="000000"/>
                <w:kern w:val="0"/>
                <w:sz w:val="21"/>
                <w:szCs w:val="21"/>
                <w:lang w:bidi="ar"/>
              </w:rPr>
              <w:t>权重</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color w:val="000000"/>
                <w:kern w:val="0"/>
                <w:sz w:val="21"/>
                <w:szCs w:val="21"/>
                <w:lang w:bidi="ar"/>
              </w:rPr>
            </w:pPr>
            <w:r>
              <w:rPr>
                <w:rFonts w:hint="default" w:ascii="Times New Roman" w:hAnsi="Times New Roman" w:eastAsia="方正楷体_GBK" w:cs="Times New Roman"/>
                <w:color w:val="000000"/>
                <w:kern w:val="0"/>
                <w:sz w:val="21"/>
                <w:szCs w:val="21"/>
                <w:lang w:bidi="ar"/>
              </w:rPr>
              <w:t>实际完成</w:t>
            </w:r>
          </w:p>
          <w:p>
            <w:pPr>
              <w:widowControl/>
              <w:spacing w:after="0" w:line="240" w:lineRule="exact"/>
              <w:jc w:val="center"/>
              <w:textAlignment w:val="center"/>
              <w:rPr>
                <w:rFonts w:hint="default" w:ascii="Times New Roman" w:hAnsi="Times New Roman" w:eastAsia="方正楷体_GBK" w:cs="Times New Roman"/>
                <w:color w:val="000000"/>
                <w:sz w:val="21"/>
                <w:szCs w:val="21"/>
              </w:rPr>
            </w:pPr>
            <w:r>
              <w:rPr>
                <w:rFonts w:hint="default" w:ascii="Times New Roman" w:hAnsi="Times New Roman" w:eastAsia="方正楷体_GBK" w:cs="Times New Roman"/>
                <w:color w:val="000000"/>
                <w:kern w:val="0"/>
                <w:sz w:val="21"/>
                <w:szCs w:val="21"/>
                <w:lang w:bidi="ar"/>
              </w:rPr>
              <w:t>指标值</w:t>
            </w:r>
          </w:p>
        </w:tc>
      </w:tr>
      <w:tr>
        <w:tblPrEx>
          <w:tblCellMar>
            <w:top w:w="15" w:type="dxa"/>
            <w:left w:w="15" w:type="dxa"/>
            <w:bottom w:w="15" w:type="dxa"/>
            <w:right w:w="15" w:type="dxa"/>
          </w:tblCellMar>
        </w:tblPrEx>
        <w:trPr>
          <w:trHeight w:val="397" w:hRule="exact"/>
          <w:jc w:val="center"/>
        </w:trPr>
        <w:tc>
          <w:tcPr>
            <w:tcW w:w="11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000000"/>
                <w:sz w:val="21"/>
                <w:szCs w:val="21"/>
              </w:rPr>
            </w:pPr>
          </w:p>
        </w:tc>
        <w:tc>
          <w:tcPr>
            <w:tcW w:w="11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color w:val="000000"/>
                <w:kern w:val="0"/>
                <w:sz w:val="21"/>
                <w:szCs w:val="21"/>
                <w:lang w:bidi="ar"/>
              </w:rPr>
            </w:pPr>
            <w:r>
              <w:rPr>
                <w:rFonts w:hint="default" w:ascii="Times New Roman" w:hAnsi="Times New Roman" w:eastAsia="方正楷体_GBK" w:cs="Times New Roman"/>
                <w:color w:val="000000"/>
                <w:kern w:val="0"/>
                <w:sz w:val="21"/>
                <w:szCs w:val="21"/>
                <w:lang w:bidi="ar"/>
              </w:rPr>
              <w:t>产出</w:t>
            </w:r>
          </w:p>
          <w:p>
            <w:pPr>
              <w:widowControl/>
              <w:spacing w:after="0" w:line="240" w:lineRule="exact"/>
              <w:jc w:val="center"/>
              <w:textAlignment w:val="center"/>
              <w:rPr>
                <w:rFonts w:hint="default" w:ascii="Times New Roman" w:hAnsi="Times New Roman" w:eastAsia="方正楷体_GBK" w:cs="Times New Roman"/>
                <w:color w:val="000000"/>
                <w:sz w:val="21"/>
                <w:szCs w:val="21"/>
              </w:rPr>
            </w:pPr>
            <w:r>
              <w:rPr>
                <w:rFonts w:hint="default" w:ascii="Times New Roman" w:hAnsi="Times New Roman" w:eastAsia="方正楷体_GBK" w:cs="Times New Roman"/>
                <w:color w:val="000000"/>
                <w:kern w:val="0"/>
                <w:sz w:val="21"/>
                <w:szCs w:val="21"/>
                <w:lang w:bidi="ar"/>
              </w:rPr>
              <w:t>指标</w:t>
            </w:r>
          </w:p>
        </w:tc>
        <w:tc>
          <w:tcPr>
            <w:tcW w:w="11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color w:val="000000"/>
                <w:kern w:val="0"/>
                <w:sz w:val="21"/>
                <w:szCs w:val="21"/>
                <w:lang w:bidi="ar"/>
              </w:rPr>
            </w:pPr>
            <w:r>
              <w:rPr>
                <w:rFonts w:hint="default" w:ascii="Times New Roman" w:hAnsi="Times New Roman" w:eastAsia="方正楷体_GBK" w:cs="Times New Roman"/>
                <w:color w:val="000000"/>
                <w:kern w:val="0"/>
                <w:sz w:val="21"/>
                <w:szCs w:val="21"/>
                <w:lang w:bidi="ar"/>
              </w:rPr>
              <w:t>数量</w:t>
            </w:r>
          </w:p>
          <w:p>
            <w:pPr>
              <w:widowControl/>
              <w:spacing w:after="0" w:line="240" w:lineRule="exact"/>
              <w:jc w:val="center"/>
              <w:textAlignment w:val="center"/>
              <w:rPr>
                <w:rFonts w:hint="default" w:ascii="Times New Roman" w:hAnsi="Times New Roman" w:eastAsia="方正楷体_GBK" w:cs="Times New Roman"/>
                <w:color w:val="000000"/>
                <w:sz w:val="21"/>
                <w:szCs w:val="21"/>
              </w:rPr>
            </w:pPr>
            <w:r>
              <w:rPr>
                <w:rFonts w:hint="default" w:ascii="Times New Roman" w:hAnsi="Times New Roman" w:eastAsia="方正楷体_GBK" w:cs="Times New Roman"/>
                <w:color w:val="000000"/>
                <w:kern w:val="0"/>
                <w:sz w:val="21"/>
                <w:szCs w:val="21"/>
                <w:lang w:bidi="ar"/>
              </w:rPr>
              <w:t>指标</w:t>
            </w:r>
          </w:p>
        </w:tc>
        <w:tc>
          <w:tcPr>
            <w:tcW w:w="3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left"/>
              <w:textAlignment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党的二十大精神相关培训</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kern w:val="0"/>
                <w:sz w:val="21"/>
                <w:szCs w:val="21"/>
                <w:lang w:bidi="ar"/>
              </w:rPr>
              <w:t>≥</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kern w:val="0"/>
                <w:sz w:val="21"/>
                <w:szCs w:val="21"/>
                <w:lang w:bidi="ar"/>
              </w:rPr>
              <w:t>10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期</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color w:val="000000"/>
                <w:sz w:val="21"/>
                <w:szCs w:val="21"/>
              </w:rPr>
            </w:pPr>
            <w:r>
              <w:rPr>
                <w:rFonts w:hint="default" w:ascii="Times New Roman" w:hAnsi="Times New Roman" w:eastAsia="方正楷体_GBK" w:cs="Times New Roman"/>
                <w:color w:val="000000"/>
                <w:kern w:val="0"/>
                <w:sz w:val="21"/>
                <w:szCs w:val="21"/>
                <w:lang w:bidi="ar"/>
              </w:rPr>
              <w:t>5%</w:t>
            </w:r>
          </w:p>
        </w:tc>
        <w:tc>
          <w:tcPr>
            <w:tcW w:w="1125" w:type="dxa"/>
            <w:tcBorders>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color w:val="auto"/>
                <w:sz w:val="21"/>
                <w:szCs w:val="21"/>
                <w:highlight w:val="none"/>
                <w:lang w:val="en-US" w:eastAsia="zh-CN"/>
              </w:rPr>
            </w:pPr>
            <w:r>
              <w:rPr>
                <w:rFonts w:hint="default" w:ascii="Times New Roman" w:hAnsi="Times New Roman" w:eastAsia="方正楷体_GBK" w:cs="Times New Roman"/>
                <w:kern w:val="0"/>
                <w:sz w:val="21"/>
                <w:szCs w:val="21"/>
                <w:lang w:val="en-US" w:eastAsia="zh-CN" w:bidi="ar"/>
              </w:rPr>
              <w:t>11</w:t>
            </w:r>
          </w:p>
        </w:tc>
      </w:tr>
      <w:tr>
        <w:tblPrEx>
          <w:tblCellMar>
            <w:top w:w="15" w:type="dxa"/>
            <w:left w:w="15" w:type="dxa"/>
            <w:bottom w:w="15" w:type="dxa"/>
            <w:right w:w="15" w:type="dxa"/>
          </w:tblCellMar>
        </w:tblPrEx>
        <w:trPr>
          <w:trHeight w:val="397" w:hRule="exact"/>
          <w:jc w:val="center"/>
        </w:trPr>
        <w:tc>
          <w:tcPr>
            <w:tcW w:w="11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000000"/>
                <w:sz w:val="21"/>
                <w:szCs w:val="21"/>
              </w:rPr>
            </w:pPr>
          </w:p>
        </w:tc>
        <w:tc>
          <w:tcPr>
            <w:tcW w:w="11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000000"/>
                <w:sz w:val="21"/>
                <w:szCs w:val="21"/>
              </w:rPr>
            </w:pPr>
          </w:p>
        </w:tc>
        <w:tc>
          <w:tcPr>
            <w:tcW w:w="11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000000"/>
                <w:sz w:val="21"/>
                <w:szCs w:val="21"/>
              </w:rPr>
            </w:pPr>
          </w:p>
        </w:tc>
        <w:tc>
          <w:tcPr>
            <w:tcW w:w="3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left"/>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发放省内对口帮扶干部人才慰问经费补助</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kern w:val="0"/>
                <w:sz w:val="21"/>
                <w:szCs w:val="21"/>
                <w:lang w:bidi="ar"/>
              </w:rPr>
              <w:t>=</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1610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人</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kern w:val="0"/>
                <w:sz w:val="21"/>
                <w:szCs w:val="21"/>
                <w:lang w:bidi="ar"/>
              </w:rPr>
              <w:t>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auto"/>
                <w:sz w:val="21"/>
                <w:szCs w:val="21"/>
                <w:highlight w:val="none"/>
                <w:lang w:val="en-US" w:eastAsia="zh-CN"/>
              </w:rPr>
            </w:pPr>
            <w:r>
              <w:rPr>
                <w:rFonts w:hint="default" w:ascii="Times New Roman" w:hAnsi="Times New Roman" w:eastAsia="方正楷体_GBK" w:cs="Times New Roman"/>
                <w:color w:val="auto"/>
                <w:sz w:val="21"/>
                <w:szCs w:val="21"/>
                <w:highlight w:val="none"/>
                <w:lang w:val="en-US" w:eastAsia="zh-CN"/>
              </w:rPr>
              <w:t>1554</w:t>
            </w:r>
          </w:p>
        </w:tc>
      </w:tr>
      <w:tr>
        <w:tblPrEx>
          <w:tblCellMar>
            <w:top w:w="15" w:type="dxa"/>
            <w:left w:w="15" w:type="dxa"/>
            <w:bottom w:w="15" w:type="dxa"/>
            <w:right w:w="15" w:type="dxa"/>
          </w:tblCellMar>
        </w:tblPrEx>
        <w:trPr>
          <w:trHeight w:val="680" w:hRule="exact"/>
          <w:jc w:val="center"/>
        </w:trPr>
        <w:tc>
          <w:tcPr>
            <w:tcW w:w="11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000000"/>
                <w:sz w:val="21"/>
                <w:szCs w:val="21"/>
              </w:rPr>
            </w:pPr>
          </w:p>
        </w:tc>
        <w:tc>
          <w:tcPr>
            <w:tcW w:w="11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000000"/>
                <w:sz w:val="21"/>
                <w:szCs w:val="21"/>
              </w:rPr>
            </w:pPr>
          </w:p>
        </w:tc>
        <w:tc>
          <w:tcPr>
            <w:tcW w:w="11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000000"/>
                <w:sz w:val="21"/>
                <w:szCs w:val="21"/>
              </w:rPr>
            </w:pPr>
          </w:p>
        </w:tc>
        <w:tc>
          <w:tcPr>
            <w:tcW w:w="3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left"/>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为到村任职选调生购买重大疾病和人身意外伤害综合保险</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kern w:val="0"/>
                <w:sz w:val="21"/>
                <w:szCs w:val="21"/>
                <w:lang w:bidi="ar"/>
              </w:rPr>
              <w:t>≥</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10000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人</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kern w:val="0"/>
                <w:sz w:val="21"/>
                <w:szCs w:val="21"/>
                <w:lang w:bidi="ar"/>
              </w:rPr>
              <w:t>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auto"/>
                <w:sz w:val="21"/>
                <w:szCs w:val="21"/>
                <w:highlight w:val="none"/>
                <w:lang w:val="en-US" w:eastAsia="zh-CN"/>
              </w:rPr>
            </w:pPr>
            <w:r>
              <w:rPr>
                <w:rFonts w:hint="default" w:ascii="Times New Roman" w:hAnsi="Times New Roman" w:eastAsia="方正楷体_GBK" w:cs="Times New Roman"/>
                <w:color w:val="auto"/>
                <w:sz w:val="21"/>
                <w:szCs w:val="21"/>
                <w:highlight w:val="none"/>
                <w:lang w:val="en-US" w:eastAsia="zh-CN"/>
              </w:rPr>
              <w:t>10000</w:t>
            </w:r>
          </w:p>
        </w:tc>
      </w:tr>
      <w:tr>
        <w:tblPrEx>
          <w:tblCellMar>
            <w:top w:w="15" w:type="dxa"/>
            <w:left w:w="15" w:type="dxa"/>
            <w:bottom w:w="15" w:type="dxa"/>
            <w:right w:w="15" w:type="dxa"/>
          </w:tblCellMar>
        </w:tblPrEx>
        <w:trPr>
          <w:trHeight w:val="397" w:hRule="exact"/>
          <w:jc w:val="center"/>
        </w:trPr>
        <w:tc>
          <w:tcPr>
            <w:tcW w:w="11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000000"/>
                <w:sz w:val="21"/>
                <w:szCs w:val="21"/>
              </w:rPr>
            </w:pPr>
          </w:p>
        </w:tc>
        <w:tc>
          <w:tcPr>
            <w:tcW w:w="11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000000"/>
                <w:sz w:val="21"/>
                <w:szCs w:val="21"/>
              </w:rPr>
            </w:pPr>
          </w:p>
        </w:tc>
        <w:tc>
          <w:tcPr>
            <w:tcW w:w="11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000000"/>
                <w:sz w:val="21"/>
                <w:szCs w:val="21"/>
              </w:rPr>
            </w:pPr>
          </w:p>
        </w:tc>
        <w:tc>
          <w:tcPr>
            <w:tcW w:w="3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left"/>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为高层次人才发放岗位激励资金</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kern w:val="0"/>
                <w:sz w:val="21"/>
                <w:szCs w:val="21"/>
                <w:lang w:bidi="ar"/>
              </w:rPr>
              <w:t>≥</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1500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人</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kern w:val="0"/>
                <w:sz w:val="21"/>
                <w:szCs w:val="21"/>
                <w:lang w:bidi="ar"/>
              </w:rPr>
              <w:t>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auto"/>
                <w:sz w:val="21"/>
                <w:szCs w:val="21"/>
                <w:highlight w:val="none"/>
                <w:lang w:val="en-US" w:eastAsia="zh-CN"/>
              </w:rPr>
            </w:pPr>
            <w:r>
              <w:rPr>
                <w:rFonts w:hint="default" w:ascii="Times New Roman" w:hAnsi="Times New Roman" w:eastAsia="方正楷体_GBK" w:cs="Times New Roman"/>
                <w:color w:val="auto"/>
                <w:sz w:val="21"/>
                <w:szCs w:val="21"/>
                <w:highlight w:val="none"/>
                <w:lang w:val="en-US" w:eastAsia="zh-CN"/>
              </w:rPr>
              <w:t>2477</w:t>
            </w:r>
          </w:p>
        </w:tc>
      </w:tr>
      <w:tr>
        <w:tblPrEx>
          <w:tblCellMar>
            <w:top w:w="15" w:type="dxa"/>
            <w:left w:w="15" w:type="dxa"/>
            <w:bottom w:w="15" w:type="dxa"/>
            <w:right w:w="15" w:type="dxa"/>
          </w:tblCellMar>
        </w:tblPrEx>
        <w:trPr>
          <w:trHeight w:val="397" w:hRule="exact"/>
          <w:jc w:val="center"/>
        </w:trPr>
        <w:tc>
          <w:tcPr>
            <w:tcW w:w="11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000000"/>
                <w:sz w:val="21"/>
                <w:szCs w:val="21"/>
              </w:rPr>
            </w:pPr>
          </w:p>
        </w:tc>
        <w:tc>
          <w:tcPr>
            <w:tcW w:w="11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000000"/>
                <w:sz w:val="21"/>
                <w:szCs w:val="21"/>
              </w:rPr>
            </w:pPr>
          </w:p>
        </w:tc>
        <w:tc>
          <w:tcPr>
            <w:tcW w:w="11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000000"/>
                <w:sz w:val="21"/>
                <w:szCs w:val="21"/>
              </w:rPr>
            </w:pPr>
          </w:p>
        </w:tc>
        <w:tc>
          <w:tcPr>
            <w:tcW w:w="3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left"/>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政策业务教育培训</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kern w:val="0"/>
                <w:sz w:val="21"/>
                <w:szCs w:val="21"/>
                <w:lang w:bidi="ar"/>
              </w:rPr>
            </w:pPr>
            <w:r>
              <w:rPr>
                <w:rFonts w:hint="default" w:ascii="Times New Roman" w:hAnsi="Times New Roman" w:eastAsia="方正楷体_GBK" w:cs="Times New Roman"/>
                <w:kern w:val="0"/>
                <w:sz w:val="21"/>
                <w:szCs w:val="21"/>
                <w:lang w:bidi="ar"/>
              </w:rPr>
              <w:t>≥</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15</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期</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kern w:val="0"/>
                <w:sz w:val="21"/>
                <w:szCs w:val="21"/>
                <w:lang w:bidi="ar"/>
              </w:rPr>
            </w:pPr>
            <w:r>
              <w:rPr>
                <w:rFonts w:hint="default" w:ascii="Times New Roman" w:hAnsi="Times New Roman" w:eastAsia="方正楷体_GBK" w:cs="Times New Roman"/>
                <w:kern w:val="0"/>
                <w:sz w:val="21"/>
                <w:szCs w:val="21"/>
                <w:lang w:bidi="ar"/>
              </w:rPr>
              <w:t>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auto"/>
                <w:sz w:val="21"/>
                <w:szCs w:val="21"/>
                <w:highlight w:val="none"/>
                <w:lang w:val="en-US" w:eastAsia="zh-CN"/>
              </w:rPr>
            </w:pPr>
            <w:r>
              <w:rPr>
                <w:rFonts w:hint="default" w:ascii="Times New Roman" w:hAnsi="Times New Roman" w:eastAsia="方正楷体_GBK" w:cs="Times New Roman"/>
                <w:color w:val="auto"/>
                <w:sz w:val="21"/>
                <w:szCs w:val="21"/>
                <w:highlight w:val="none"/>
                <w:lang w:val="en-US" w:eastAsia="zh-CN"/>
              </w:rPr>
              <w:t>33</w:t>
            </w:r>
          </w:p>
        </w:tc>
      </w:tr>
      <w:tr>
        <w:tblPrEx>
          <w:tblCellMar>
            <w:top w:w="15" w:type="dxa"/>
            <w:left w:w="15" w:type="dxa"/>
            <w:bottom w:w="15" w:type="dxa"/>
            <w:right w:w="15" w:type="dxa"/>
          </w:tblCellMar>
        </w:tblPrEx>
        <w:trPr>
          <w:trHeight w:val="397" w:hRule="exact"/>
          <w:jc w:val="center"/>
        </w:trPr>
        <w:tc>
          <w:tcPr>
            <w:tcW w:w="11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000000"/>
                <w:sz w:val="21"/>
                <w:szCs w:val="21"/>
              </w:rPr>
            </w:pPr>
          </w:p>
        </w:tc>
        <w:tc>
          <w:tcPr>
            <w:tcW w:w="11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000000"/>
                <w:sz w:val="21"/>
                <w:szCs w:val="21"/>
              </w:rPr>
            </w:pPr>
          </w:p>
        </w:tc>
        <w:tc>
          <w:tcPr>
            <w:tcW w:w="11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000000"/>
                <w:sz w:val="21"/>
                <w:szCs w:val="21"/>
              </w:rPr>
            </w:pPr>
          </w:p>
        </w:tc>
        <w:tc>
          <w:tcPr>
            <w:tcW w:w="3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left"/>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重点专题培训</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kern w:val="0"/>
                <w:sz w:val="21"/>
                <w:szCs w:val="21"/>
                <w:lang w:bidi="ar"/>
              </w:rPr>
            </w:pPr>
            <w:r>
              <w:rPr>
                <w:rFonts w:hint="default" w:ascii="Times New Roman" w:hAnsi="Times New Roman" w:eastAsia="方正楷体_GBK" w:cs="Times New Roman"/>
                <w:kern w:val="0"/>
                <w:sz w:val="21"/>
                <w:szCs w:val="21"/>
                <w:lang w:bidi="ar"/>
              </w:rPr>
              <w:t>≥</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15</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期</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FF0000"/>
                <w:sz w:val="21"/>
                <w:szCs w:val="21"/>
              </w:rPr>
            </w:pPr>
            <w:r>
              <w:rPr>
                <w:rFonts w:hint="default" w:ascii="Times New Roman" w:hAnsi="Times New Roman" w:eastAsia="方正楷体_GBK" w:cs="Times New Roman"/>
                <w:kern w:val="0"/>
                <w:sz w:val="21"/>
                <w:szCs w:val="21"/>
                <w:lang w:bidi="ar"/>
              </w:rPr>
              <w:t>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auto"/>
                <w:sz w:val="21"/>
                <w:szCs w:val="21"/>
                <w:highlight w:val="none"/>
                <w:lang w:val="en-US" w:eastAsia="zh-CN"/>
              </w:rPr>
            </w:pPr>
            <w:r>
              <w:rPr>
                <w:rFonts w:hint="default" w:ascii="Times New Roman" w:hAnsi="Times New Roman" w:eastAsia="方正楷体_GBK" w:cs="Times New Roman"/>
                <w:color w:val="auto"/>
                <w:sz w:val="21"/>
                <w:szCs w:val="21"/>
                <w:highlight w:val="none"/>
                <w:lang w:val="en-US" w:eastAsia="zh-CN"/>
              </w:rPr>
              <w:t>21</w:t>
            </w:r>
          </w:p>
        </w:tc>
      </w:tr>
      <w:tr>
        <w:tblPrEx>
          <w:tblCellMar>
            <w:top w:w="15" w:type="dxa"/>
            <w:left w:w="15" w:type="dxa"/>
            <w:bottom w:w="15" w:type="dxa"/>
            <w:right w:w="15" w:type="dxa"/>
          </w:tblCellMar>
        </w:tblPrEx>
        <w:trPr>
          <w:trHeight w:val="397" w:hRule="exact"/>
          <w:jc w:val="center"/>
        </w:trPr>
        <w:tc>
          <w:tcPr>
            <w:tcW w:w="11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000000"/>
                <w:sz w:val="21"/>
                <w:szCs w:val="21"/>
              </w:rPr>
            </w:pPr>
          </w:p>
        </w:tc>
        <w:tc>
          <w:tcPr>
            <w:tcW w:w="11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000000"/>
                <w:sz w:val="21"/>
                <w:szCs w:val="21"/>
              </w:rPr>
            </w:pPr>
          </w:p>
        </w:tc>
        <w:tc>
          <w:tcPr>
            <w:tcW w:w="1134" w:type="dxa"/>
            <w:tcBorders>
              <w:top w:val="single" w:color="000000" w:sz="4" w:space="0"/>
              <w:left w:val="single" w:color="000000" w:sz="4" w:space="0"/>
              <w:right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color w:val="000000"/>
                <w:sz w:val="21"/>
                <w:szCs w:val="21"/>
              </w:rPr>
            </w:pPr>
            <w:r>
              <w:rPr>
                <w:rFonts w:hint="default" w:ascii="Times New Roman" w:hAnsi="Times New Roman" w:eastAsia="方正楷体_GBK" w:cs="Times New Roman"/>
                <w:color w:val="000000"/>
                <w:kern w:val="0"/>
                <w:sz w:val="21"/>
                <w:szCs w:val="21"/>
                <w:lang w:bidi="ar"/>
              </w:rPr>
              <w:t>质量指标</w:t>
            </w:r>
          </w:p>
        </w:tc>
        <w:tc>
          <w:tcPr>
            <w:tcW w:w="3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left"/>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扩大人才开放合作</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定性</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高</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kern w:val="0"/>
                <w:sz w:val="21"/>
                <w:szCs w:val="21"/>
                <w:lang w:bidi="ar"/>
              </w:rPr>
              <w:t>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auto"/>
                <w:sz w:val="21"/>
                <w:szCs w:val="21"/>
                <w:highlight w:val="none"/>
                <w:lang w:eastAsia="zh-CN"/>
              </w:rPr>
            </w:pPr>
            <w:r>
              <w:rPr>
                <w:rFonts w:hint="default" w:ascii="Times New Roman" w:hAnsi="Times New Roman" w:eastAsia="方正楷体_GBK" w:cs="Times New Roman"/>
                <w:color w:val="auto"/>
                <w:sz w:val="21"/>
                <w:szCs w:val="21"/>
                <w:highlight w:val="none"/>
                <w:lang w:eastAsia="zh-CN"/>
              </w:rPr>
              <w:t>高</w:t>
            </w:r>
          </w:p>
        </w:tc>
      </w:tr>
      <w:tr>
        <w:tblPrEx>
          <w:tblCellMar>
            <w:top w:w="15" w:type="dxa"/>
            <w:left w:w="15" w:type="dxa"/>
            <w:bottom w:w="15" w:type="dxa"/>
            <w:right w:w="15" w:type="dxa"/>
          </w:tblCellMar>
        </w:tblPrEx>
        <w:trPr>
          <w:trHeight w:val="397" w:hRule="exact"/>
          <w:jc w:val="center"/>
        </w:trPr>
        <w:tc>
          <w:tcPr>
            <w:tcW w:w="11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000000"/>
                <w:sz w:val="21"/>
                <w:szCs w:val="21"/>
              </w:rPr>
            </w:pPr>
          </w:p>
        </w:tc>
        <w:tc>
          <w:tcPr>
            <w:tcW w:w="11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000000"/>
                <w:sz w:val="21"/>
                <w:szCs w:val="21"/>
              </w:rPr>
            </w:pPr>
          </w:p>
        </w:tc>
        <w:tc>
          <w:tcPr>
            <w:tcW w:w="1134" w:type="dxa"/>
            <w:tcBorders>
              <w:top w:val="single" w:color="000000" w:sz="4" w:space="0"/>
              <w:left w:val="single" w:color="000000" w:sz="4" w:space="0"/>
              <w:right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color w:val="000000"/>
                <w:sz w:val="21"/>
                <w:szCs w:val="21"/>
              </w:rPr>
            </w:pPr>
            <w:r>
              <w:rPr>
                <w:rFonts w:hint="default" w:ascii="Times New Roman" w:hAnsi="Times New Roman" w:eastAsia="方正楷体_GBK" w:cs="Times New Roman"/>
                <w:color w:val="000000"/>
                <w:kern w:val="0"/>
                <w:sz w:val="21"/>
                <w:szCs w:val="21"/>
                <w:lang w:bidi="ar"/>
              </w:rPr>
              <w:t>时效指标</w:t>
            </w:r>
          </w:p>
        </w:tc>
        <w:tc>
          <w:tcPr>
            <w:tcW w:w="3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left"/>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选调生选调时间</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9</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月</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kern w:val="0"/>
                <w:sz w:val="21"/>
                <w:szCs w:val="21"/>
                <w:lang w:bidi="ar"/>
              </w:rPr>
              <w:t>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auto"/>
                <w:sz w:val="21"/>
                <w:szCs w:val="21"/>
                <w:highlight w:val="none"/>
                <w:lang w:val="en-US" w:eastAsia="zh-CN"/>
              </w:rPr>
            </w:pPr>
            <w:r>
              <w:rPr>
                <w:rFonts w:hint="default" w:ascii="Times New Roman" w:hAnsi="Times New Roman" w:eastAsia="方正楷体_GBK" w:cs="Times New Roman"/>
                <w:color w:val="auto"/>
                <w:sz w:val="21"/>
                <w:szCs w:val="21"/>
                <w:highlight w:val="none"/>
                <w:lang w:val="en-US" w:eastAsia="zh-CN"/>
              </w:rPr>
              <w:t>7</w:t>
            </w:r>
          </w:p>
        </w:tc>
      </w:tr>
      <w:tr>
        <w:tblPrEx>
          <w:tblCellMar>
            <w:top w:w="15" w:type="dxa"/>
            <w:left w:w="15" w:type="dxa"/>
            <w:bottom w:w="15" w:type="dxa"/>
            <w:right w:w="15" w:type="dxa"/>
          </w:tblCellMar>
        </w:tblPrEx>
        <w:trPr>
          <w:trHeight w:val="397" w:hRule="exact"/>
          <w:jc w:val="center"/>
        </w:trPr>
        <w:tc>
          <w:tcPr>
            <w:tcW w:w="11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000000"/>
                <w:sz w:val="21"/>
                <w:szCs w:val="21"/>
              </w:rPr>
            </w:pPr>
          </w:p>
        </w:tc>
        <w:tc>
          <w:tcPr>
            <w:tcW w:w="1134" w:type="dxa"/>
            <w:tcBorders>
              <w:top w:val="single" w:color="000000" w:sz="4" w:space="0"/>
              <w:left w:val="single" w:color="000000" w:sz="4" w:space="0"/>
              <w:right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color w:val="000000"/>
                <w:kern w:val="0"/>
                <w:sz w:val="21"/>
                <w:szCs w:val="21"/>
                <w:lang w:bidi="ar"/>
              </w:rPr>
            </w:pPr>
            <w:r>
              <w:rPr>
                <w:rFonts w:hint="default" w:ascii="Times New Roman" w:hAnsi="Times New Roman" w:eastAsia="方正楷体_GBK" w:cs="Times New Roman"/>
                <w:color w:val="000000"/>
                <w:kern w:val="0"/>
                <w:sz w:val="21"/>
                <w:szCs w:val="21"/>
                <w:lang w:bidi="ar"/>
              </w:rPr>
              <w:t>成本指标</w:t>
            </w:r>
          </w:p>
        </w:tc>
        <w:tc>
          <w:tcPr>
            <w:tcW w:w="1134" w:type="dxa"/>
            <w:tcBorders>
              <w:top w:val="single" w:color="000000" w:sz="4" w:space="0"/>
              <w:left w:val="single" w:color="000000" w:sz="4" w:space="0"/>
              <w:right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color w:val="000000"/>
                <w:kern w:val="0"/>
                <w:sz w:val="21"/>
                <w:szCs w:val="21"/>
                <w:lang w:bidi="ar"/>
              </w:rPr>
            </w:pPr>
            <w:r>
              <w:rPr>
                <w:rFonts w:hint="default" w:ascii="Times New Roman" w:hAnsi="Times New Roman" w:eastAsia="方正楷体_GBK" w:cs="Times New Roman"/>
                <w:color w:val="000000"/>
                <w:kern w:val="0"/>
                <w:sz w:val="21"/>
                <w:szCs w:val="21"/>
                <w:lang w:bidi="ar"/>
              </w:rPr>
              <w:t>经济成本</w:t>
            </w:r>
          </w:p>
        </w:tc>
        <w:tc>
          <w:tcPr>
            <w:tcW w:w="3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left"/>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政府采购价格不超过政府采购目录上限</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定性</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eastAsia" w:ascii="Times New Roman" w:hAnsi="Times New Roman" w:eastAsia="方正楷体_GBK" w:cs="Times New Roman"/>
                <w:sz w:val="21"/>
                <w:szCs w:val="21"/>
                <w:lang w:eastAsia="zh-CN"/>
              </w:rPr>
            </w:pPr>
            <w:r>
              <w:rPr>
                <w:rFonts w:hint="eastAsia" w:eastAsia="方正楷体_GBK" w:cs="Times New Roman"/>
                <w:sz w:val="21"/>
                <w:szCs w:val="21"/>
                <w:lang w:val="en-US" w:eastAsia="zh-CN"/>
              </w:rPr>
              <w:t>不超过</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kern w:val="0"/>
                <w:sz w:val="21"/>
                <w:szCs w:val="21"/>
                <w:lang w:bidi="ar"/>
              </w:rPr>
              <w:t>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auto"/>
                <w:sz w:val="21"/>
                <w:szCs w:val="21"/>
                <w:highlight w:val="none"/>
                <w:lang w:eastAsia="zh-CN"/>
              </w:rPr>
            </w:pPr>
            <w:r>
              <w:rPr>
                <w:rFonts w:hint="eastAsia" w:eastAsia="方正楷体_GBK" w:cs="Times New Roman"/>
                <w:color w:val="auto"/>
                <w:sz w:val="21"/>
                <w:szCs w:val="21"/>
                <w:highlight w:val="none"/>
                <w:lang w:val="en-US" w:eastAsia="zh-CN"/>
              </w:rPr>
              <w:t>未超过</w:t>
            </w:r>
          </w:p>
        </w:tc>
      </w:tr>
      <w:tr>
        <w:tblPrEx>
          <w:tblCellMar>
            <w:top w:w="15" w:type="dxa"/>
            <w:left w:w="15" w:type="dxa"/>
            <w:bottom w:w="15" w:type="dxa"/>
            <w:right w:w="15" w:type="dxa"/>
          </w:tblCellMar>
        </w:tblPrEx>
        <w:trPr>
          <w:trHeight w:val="680" w:hRule="exact"/>
          <w:jc w:val="center"/>
        </w:trPr>
        <w:tc>
          <w:tcPr>
            <w:tcW w:w="11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000000"/>
                <w:sz w:val="21"/>
                <w:szCs w:val="21"/>
              </w:rPr>
            </w:pPr>
          </w:p>
        </w:tc>
        <w:tc>
          <w:tcPr>
            <w:tcW w:w="1134" w:type="dxa"/>
            <w:vMerge w:val="restart"/>
            <w:tcBorders>
              <w:top w:val="single" w:color="000000" w:sz="4" w:space="0"/>
              <w:left w:val="single" w:color="000000" w:sz="4" w:space="0"/>
              <w:right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color w:val="000000"/>
                <w:kern w:val="0"/>
                <w:sz w:val="21"/>
                <w:szCs w:val="21"/>
                <w:lang w:bidi="ar"/>
              </w:rPr>
            </w:pPr>
            <w:r>
              <w:rPr>
                <w:rFonts w:hint="default" w:ascii="Times New Roman" w:hAnsi="Times New Roman" w:eastAsia="方正楷体_GBK" w:cs="Times New Roman"/>
                <w:color w:val="000000"/>
                <w:kern w:val="0"/>
                <w:sz w:val="21"/>
                <w:szCs w:val="21"/>
                <w:lang w:bidi="ar"/>
              </w:rPr>
              <w:t>效益</w:t>
            </w:r>
          </w:p>
          <w:p>
            <w:pPr>
              <w:widowControl/>
              <w:spacing w:after="0" w:line="240" w:lineRule="exact"/>
              <w:jc w:val="center"/>
              <w:textAlignment w:val="center"/>
              <w:rPr>
                <w:rFonts w:hint="default" w:ascii="Times New Roman" w:hAnsi="Times New Roman" w:eastAsia="方正楷体_GBK" w:cs="Times New Roman"/>
                <w:color w:val="000000"/>
                <w:sz w:val="21"/>
                <w:szCs w:val="21"/>
              </w:rPr>
            </w:pPr>
            <w:r>
              <w:rPr>
                <w:rFonts w:hint="default" w:ascii="Times New Roman" w:hAnsi="Times New Roman" w:eastAsia="方正楷体_GBK" w:cs="Times New Roman"/>
                <w:color w:val="000000"/>
                <w:kern w:val="0"/>
                <w:sz w:val="21"/>
                <w:szCs w:val="21"/>
                <w:lang w:bidi="ar"/>
              </w:rPr>
              <w:t>指标</w:t>
            </w:r>
          </w:p>
        </w:tc>
        <w:tc>
          <w:tcPr>
            <w:tcW w:w="1134" w:type="dxa"/>
            <w:tcBorders>
              <w:top w:val="single" w:color="000000" w:sz="4" w:space="0"/>
              <w:left w:val="single" w:color="000000" w:sz="4" w:space="0"/>
              <w:right w:val="single" w:color="000000" w:sz="4" w:space="0"/>
            </w:tcBorders>
            <w:shd w:val="clear" w:color="auto" w:fill="auto"/>
            <w:vAlign w:val="center"/>
          </w:tcPr>
          <w:p>
            <w:pPr>
              <w:widowControl/>
              <w:spacing w:after="0" w:line="240" w:lineRule="exact"/>
              <w:jc w:val="center"/>
              <w:textAlignment w:val="center"/>
              <w:rPr>
                <w:rFonts w:hint="default" w:ascii="Times New Roman" w:hAnsi="Times New Roman" w:eastAsia="方正楷体_GBK" w:cs="Times New Roman"/>
                <w:color w:val="000000"/>
                <w:kern w:val="0"/>
                <w:sz w:val="21"/>
                <w:szCs w:val="21"/>
                <w:lang w:bidi="ar"/>
              </w:rPr>
            </w:pPr>
            <w:r>
              <w:rPr>
                <w:rFonts w:hint="default" w:ascii="Times New Roman" w:hAnsi="Times New Roman" w:eastAsia="方正楷体_GBK" w:cs="Times New Roman"/>
                <w:color w:val="000000"/>
                <w:kern w:val="0"/>
                <w:sz w:val="21"/>
                <w:szCs w:val="21"/>
                <w:lang w:bidi="ar"/>
              </w:rPr>
              <w:t>社会效益</w:t>
            </w:r>
          </w:p>
          <w:p>
            <w:pPr>
              <w:widowControl/>
              <w:spacing w:after="0" w:line="240" w:lineRule="exact"/>
              <w:jc w:val="center"/>
              <w:textAlignment w:val="center"/>
              <w:rPr>
                <w:rFonts w:hint="default" w:ascii="Times New Roman" w:hAnsi="Times New Roman" w:eastAsia="方正楷体_GBK" w:cs="Times New Roman"/>
                <w:color w:val="000000"/>
                <w:sz w:val="21"/>
                <w:szCs w:val="21"/>
              </w:rPr>
            </w:pPr>
            <w:r>
              <w:rPr>
                <w:rFonts w:hint="default" w:ascii="Times New Roman" w:hAnsi="Times New Roman" w:eastAsia="方正楷体_GBK" w:cs="Times New Roman"/>
                <w:color w:val="000000"/>
                <w:kern w:val="0"/>
                <w:sz w:val="21"/>
                <w:szCs w:val="21"/>
                <w:lang w:bidi="ar"/>
              </w:rPr>
              <w:t>指标</w:t>
            </w:r>
          </w:p>
        </w:tc>
        <w:tc>
          <w:tcPr>
            <w:tcW w:w="3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left"/>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激励省内对口帮扶干部人才奋发有为、干事创业</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定性</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高</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kern w:val="0"/>
                <w:sz w:val="21"/>
                <w:szCs w:val="21"/>
                <w:lang w:bidi="ar"/>
              </w:rPr>
              <w:t>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auto"/>
                <w:sz w:val="21"/>
                <w:szCs w:val="21"/>
                <w:highlight w:val="none"/>
                <w:lang w:eastAsia="zh-CN"/>
              </w:rPr>
            </w:pPr>
            <w:r>
              <w:rPr>
                <w:rFonts w:hint="default" w:ascii="Times New Roman" w:hAnsi="Times New Roman" w:eastAsia="方正楷体_GBK" w:cs="Times New Roman"/>
                <w:color w:val="auto"/>
                <w:sz w:val="21"/>
                <w:szCs w:val="21"/>
                <w:highlight w:val="none"/>
                <w:lang w:eastAsia="zh-CN"/>
              </w:rPr>
              <w:t>高</w:t>
            </w:r>
          </w:p>
        </w:tc>
      </w:tr>
      <w:tr>
        <w:tblPrEx>
          <w:tblCellMar>
            <w:top w:w="15" w:type="dxa"/>
            <w:left w:w="15" w:type="dxa"/>
            <w:bottom w:w="15" w:type="dxa"/>
            <w:right w:w="15" w:type="dxa"/>
          </w:tblCellMar>
        </w:tblPrEx>
        <w:trPr>
          <w:trHeight w:val="397" w:hRule="exact"/>
          <w:jc w:val="center"/>
        </w:trPr>
        <w:tc>
          <w:tcPr>
            <w:tcW w:w="11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000000"/>
                <w:sz w:val="21"/>
                <w:szCs w:val="21"/>
              </w:rPr>
            </w:pPr>
          </w:p>
        </w:tc>
        <w:tc>
          <w:tcPr>
            <w:tcW w:w="1134" w:type="dxa"/>
            <w:vMerge w:val="continue"/>
            <w:tcBorders>
              <w:left w:val="single" w:color="000000" w:sz="4" w:space="0"/>
              <w:bottom w:val="single" w:color="000000" w:sz="4" w:space="0"/>
              <w:right w:val="single" w:color="000000" w:sz="4" w:space="0"/>
            </w:tcBorders>
            <w:shd w:val="clear" w:color="auto" w:fill="auto"/>
            <w:vAlign w:val="center"/>
          </w:tcPr>
          <w:p>
            <w:pPr>
              <w:spacing w:after="0" w:line="240" w:lineRule="exact"/>
              <w:jc w:val="center"/>
              <w:textAlignment w:val="center"/>
              <w:rPr>
                <w:rFonts w:hint="default" w:ascii="Times New Roman" w:hAnsi="Times New Roman" w:eastAsia="方正楷体_GBK" w:cs="Times New Roman"/>
                <w:color w:val="000000"/>
                <w:kern w:val="0"/>
                <w:sz w:val="21"/>
                <w:szCs w:val="21"/>
                <w:lang w:bidi="ar"/>
              </w:rPr>
            </w:pPr>
          </w:p>
        </w:tc>
        <w:tc>
          <w:tcPr>
            <w:tcW w:w="1134" w:type="dxa"/>
            <w:vMerge w:val="restart"/>
            <w:tcBorders>
              <w:top w:val="single" w:color="000000" w:sz="4" w:space="0"/>
              <w:left w:val="single" w:color="000000" w:sz="4" w:space="0"/>
              <w:right w:val="single" w:color="000000" w:sz="4" w:space="0"/>
            </w:tcBorders>
            <w:shd w:val="clear" w:color="auto" w:fill="auto"/>
            <w:vAlign w:val="center"/>
          </w:tcPr>
          <w:p>
            <w:pPr>
              <w:spacing w:after="0" w:line="240" w:lineRule="exact"/>
              <w:jc w:val="center"/>
              <w:textAlignment w:val="center"/>
              <w:rPr>
                <w:rFonts w:hint="default" w:ascii="Times New Roman" w:hAnsi="Times New Roman" w:eastAsia="方正楷体_GBK" w:cs="Times New Roman"/>
                <w:color w:val="000000"/>
                <w:kern w:val="0"/>
                <w:sz w:val="21"/>
                <w:szCs w:val="21"/>
                <w:lang w:bidi="ar"/>
              </w:rPr>
            </w:pPr>
            <w:r>
              <w:rPr>
                <w:rFonts w:hint="default" w:ascii="Times New Roman" w:hAnsi="Times New Roman" w:eastAsia="方正楷体_GBK" w:cs="Times New Roman"/>
                <w:color w:val="000000"/>
                <w:kern w:val="0"/>
                <w:sz w:val="21"/>
                <w:szCs w:val="21"/>
                <w:lang w:bidi="ar"/>
              </w:rPr>
              <w:t>可持续影响指标</w:t>
            </w:r>
          </w:p>
        </w:tc>
        <w:tc>
          <w:tcPr>
            <w:tcW w:w="3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left"/>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提高各级领导干部的政治能力和履职能力</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kern w:val="0"/>
                <w:sz w:val="21"/>
                <w:szCs w:val="21"/>
                <w:lang w:bidi="ar"/>
              </w:rPr>
              <w:t>≥</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90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kern w:val="0"/>
                <w:sz w:val="21"/>
                <w:szCs w:val="21"/>
                <w:lang w:bidi="ar"/>
              </w:rPr>
            </w:pPr>
            <w:r>
              <w:rPr>
                <w:rFonts w:hint="default" w:ascii="Times New Roman" w:hAnsi="Times New Roman" w:eastAsia="方正楷体_GBK" w:cs="Times New Roman"/>
                <w:kern w:val="0"/>
                <w:sz w:val="21"/>
                <w:szCs w:val="21"/>
                <w:lang w:bidi="ar"/>
              </w:rPr>
              <w:t>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auto"/>
                <w:sz w:val="21"/>
                <w:szCs w:val="21"/>
                <w:highlight w:val="none"/>
                <w:lang w:val="en-US" w:eastAsia="zh-CN"/>
              </w:rPr>
            </w:pPr>
            <w:r>
              <w:rPr>
                <w:rFonts w:hint="default" w:ascii="Times New Roman" w:hAnsi="Times New Roman" w:eastAsia="方正楷体_GBK" w:cs="Times New Roman"/>
                <w:color w:val="auto"/>
                <w:sz w:val="21"/>
                <w:szCs w:val="21"/>
                <w:highlight w:val="none"/>
                <w:lang w:val="en-US" w:eastAsia="zh-CN"/>
              </w:rPr>
              <w:t>90</w:t>
            </w:r>
          </w:p>
        </w:tc>
      </w:tr>
      <w:tr>
        <w:tblPrEx>
          <w:tblCellMar>
            <w:top w:w="15" w:type="dxa"/>
            <w:left w:w="15" w:type="dxa"/>
            <w:bottom w:w="15" w:type="dxa"/>
            <w:right w:w="15" w:type="dxa"/>
          </w:tblCellMar>
        </w:tblPrEx>
        <w:trPr>
          <w:trHeight w:val="397" w:hRule="exact"/>
          <w:jc w:val="center"/>
        </w:trPr>
        <w:tc>
          <w:tcPr>
            <w:tcW w:w="11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000000"/>
                <w:sz w:val="21"/>
                <w:szCs w:val="21"/>
              </w:rPr>
            </w:pPr>
          </w:p>
        </w:tc>
        <w:tc>
          <w:tcPr>
            <w:tcW w:w="1134" w:type="dxa"/>
            <w:vMerge w:val="continue"/>
            <w:tcBorders>
              <w:left w:val="single" w:color="000000" w:sz="4" w:space="0"/>
              <w:bottom w:val="single" w:color="000000" w:sz="4" w:space="0"/>
              <w:right w:val="single" w:color="000000" w:sz="4" w:space="0"/>
            </w:tcBorders>
            <w:shd w:val="clear" w:color="auto" w:fill="auto"/>
            <w:vAlign w:val="center"/>
          </w:tcPr>
          <w:p>
            <w:pPr>
              <w:spacing w:after="0" w:line="240" w:lineRule="exact"/>
              <w:jc w:val="center"/>
              <w:textAlignment w:val="center"/>
              <w:rPr>
                <w:rFonts w:hint="default" w:ascii="Times New Roman" w:hAnsi="Times New Roman" w:eastAsia="方正楷体_GBK" w:cs="Times New Roman"/>
                <w:color w:val="000000"/>
                <w:kern w:val="0"/>
                <w:sz w:val="21"/>
                <w:szCs w:val="21"/>
                <w:lang w:bidi="ar"/>
              </w:rPr>
            </w:pPr>
          </w:p>
        </w:tc>
        <w:tc>
          <w:tcPr>
            <w:tcW w:w="1134" w:type="dxa"/>
            <w:vMerge w:val="continue"/>
            <w:tcBorders>
              <w:left w:val="single" w:color="000000" w:sz="4" w:space="0"/>
              <w:bottom w:val="single" w:color="000000" w:sz="4" w:space="0"/>
              <w:right w:val="single" w:color="000000" w:sz="4" w:space="0"/>
            </w:tcBorders>
            <w:shd w:val="clear" w:color="auto" w:fill="auto"/>
            <w:vAlign w:val="center"/>
          </w:tcPr>
          <w:p>
            <w:pPr>
              <w:spacing w:after="0" w:line="240" w:lineRule="exact"/>
              <w:jc w:val="center"/>
              <w:textAlignment w:val="center"/>
              <w:rPr>
                <w:rFonts w:hint="default" w:ascii="Times New Roman" w:hAnsi="Times New Roman" w:eastAsia="方正楷体_GBK" w:cs="Times New Roman"/>
                <w:color w:val="000000"/>
                <w:kern w:val="0"/>
                <w:sz w:val="21"/>
                <w:szCs w:val="21"/>
                <w:lang w:bidi="ar"/>
              </w:rPr>
            </w:pPr>
          </w:p>
        </w:tc>
        <w:tc>
          <w:tcPr>
            <w:tcW w:w="3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left"/>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助推脱贫攻坚与乡村振兴有效衔接</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定性</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优</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kern w:val="0"/>
                <w:sz w:val="21"/>
                <w:szCs w:val="21"/>
                <w:lang w:bidi="ar"/>
              </w:rPr>
            </w:pPr>
            <w:r>
              <w:rPr>
                <w:rFonts w:hint="default" w:ascii="Times New Roman" w:hAnsi="Times New Roman" w:eastAsia="方正楷体_GBK" w:cs="Times New Roman"/>
                <w:kern w:val="0"/>
                <w:sz w:val="21"/>
                <w:szCs w:val="21"/>
                <w:lang w:bidi="ar"/>
              </w:rPr>
              <w:t>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auto"/>
                <w:sz w:val="21"/>
                <w:szCs w:val="21"/>
                <w:highlight w:val="none"/>
                <w:lang w:eastAsia="zh-CN"/>
              </w:rPr>
            </w:pPr>
            <w:r>
              <w:rPr>
                <w:rFonts w:hint="default" w:ascii="Times New Roman" w:hAnsi="Times New Roman" w:eastAsia="方正楷体_GBK" w:cs="Times New Roman"/>
                <w:color w:val="auto"/>
                <w:sz w:val="21"/>
                <w:szCs w:val="21"/>
                <w:highlight w:val="none"/>
                <w:lang w:eastAsia="zh-CN"/>
              </w:rPr>
              <w:t>优</w:t>
            </w:r>
          </w:p>
        </w:tc>
      </w:tr>
      <w:tr>
        <w:tblPrEx>
          <w:tblCellMar>
            <w:top w:w="15" w:type="dxa"/>
            <w:left w:w="15" w:type="dxa"/>
            <w:bottom w:w="15" w:type="dxa"/>
            <w:right w:w="15" w:type="dxa"/>
          </w:tblCellMar>
        </w:tblPrEx>
        <w:trPr>
          <w:trHeight w:val="680" w:hRule="exact"/>
          <w:jc w:val="center"/>
        </w:trPr>
        <w:tc>
          <w:tcPr>
            <w:tcW w:w="11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000000"/>
                <w:sz w:val="21"/>
                <w:szCs w:val="21"/>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after="0" w:line="240" w:lineRule="exact"/>
              <w:jc w:val="center"/>
              <w:textAlignment w:val="center"/>
              <w:rPr>
                <w:rFonts w:hint="default" w:ascii="Times New Roman" w:hAnsi="Times New Roman" w:eastAsia="方正楷体_GBK" w:cs="Times New Roman"/>
                <w:color w:val="000000"/>
                <w:kern w:val="0"/>
                <w:sz w:val="21"/>
                <w:szCs w:val="21"/>
                <w:lang w:bidi="ar"/>
              </w:rPr>
            </w:pPr>
            <w:r>
              <w:rPr>
                <w:rFonts w:hint="default" w:ascii="Times New Roman" w:hAnsi="Times New Roman" w:eastAsia="方正楷体_GBK" w:cs="Times New Roman"/>
                <w:color w:val="000000"/>
                <w:kern w:val="0"/>
                <w:sz w:val="21"/>
                <w:szCs w:val="21"/>
                <w:lang w:bidi="ar"/>
              </w:rPr>
              <w:t>满意度指标</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after="0" w:line="240" w:lineRule="exact"/>
              <w:jc w:val="center"/>
              <w:textAlignment w:val="center"/>
              <w:rPr>
                <w:rFonts w:hint="default" w:ascii="Times New Roman" w:hAnsi="Times New Roman" w:eastAsia="方正楷体_GBK" w:cs="Times New Roman"/>
                <w:color w:val="000000"/>
                <w:kern w:val="0"/>
                <w:sz w:val="21"/>
                <w:szCs w:val="21"/>
                <w:lang w:bidi="ar"/>
              </w:rPr>
            </w:pPr>
            <w:r>
              <w:rPr>
                <w:rFonts w:hint="default" w:ascii="Times New Roman" w:hAnsi="Times New Roman" w:eastAsia="方正楷体_GBK" w:cs="Times New Roman"/>
                <w:color w:val="000000"/>
                <w:kern w:val="0"/>
                <w:sz w:val="21"/>
                <w:szCs w:val="21"/>
                <w:lang w:bidi="ar"/>
              </w:rPr>
              <w:t>服务对象</w:t>
            </w:r>
          </w:p>
          <w:p>
            <w:pPr>
              <w:spacing w:after="0" w:line="240" w:lineRule="exact"/>
              <w:jc w:val="center"/>
              <w:textAlignment w:val="center"/>
              <w:rPr>
                <w:rFonts w:hint="default" w:ascii="Times New Roman" w:hAnsi="Times New Roman" w:eastAsia="方正楷体_GBK" w:cs="Times New Roman"/>
                <w:color w:val="000000"/>
                <w:kern w:val="0"/>
                <w:sz w:val="21"/>
                <w:szCs w:val="21"/>
                <w:lang w:bidi="ar"/>
              </w:rPr>
            </w:pPr>
            <w:r>
              <w:rPr>
                <w:rFonts w:hint="default" w:ascii="Times New Roman" w:hAnsi="Times New Roman" w:eastAsia="方正楷体_GBK" w:cs="Times New Roman"/>
                <w:color w:val="000000"/>
                <w:kern w:val="0"/>
                <w:sz w:val="21"/>
                <w:szCs w:val="21"/>
                <w:lang w:bidi="ar"/>
              </w:rPr>
              <w:t>满意度</w:t>
            </w:r>
          </w:p>
        </w:tc>
        <w:tc>
          <w:tcPr>
            <w:tcW w:w="3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left"/>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优化人才发展环境</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定性</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优</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sz w:val="21"/>
                <w:szCs w:val="21"/>
              </w:rPr>
            </w:pPr>
            <w:r>
              <w:rPr>
                <w:rFonts w:hint="default" w:ascii="Times New Roman" w:hAnsi="Times New Roman" w:eastAsia="方正楷体_GBK" w:cs="Times New Roman"/>
                <w:kern w:val="0"/>
                <w:sz w:val="21"/>
                <w:szCs w:val="21"/>
                <w:lang w:bidi="ar"/>
              </w:rPr>
              <w:t>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0" w:line="240" w:lineRule="exact"/>
              <w:jc w:val="center"/>
              <w:rPr>
                <w:rFonts w:hint="default" w:ascii="Times New Roman" w:hAnsi="Times New Roman" w:eastAsia="方正楷体_GBK" w:cs="Times New Roman"/>
                <w:color w:val="auto"/>
                <w:sz w:val="21"/>
                <w:szCs w:val="21"/>
                <w:highlight w:val="none"/>
                <w:lang w:eastAsia="zh-CN"/>
              </w:rPr>
            </w:pPr>
            <w:r>
              <w:rPr>
                <w:rFonts w:hint="default" w:ascii="Times New Roman" w:hAnsi="Times New Roman" w:eastAsia="方正楷体_GBK" w:cs="Times New Roman"/>
                <w:color w:val="auto"/>
                <w:sz w:val="21"/>
                <w:szCs w:val="21"/>
                <w:highlight w:val="none"/>
                <w:lang w:eastAsia="zh-CN"/>
              </w:rPr>
              <w:t>优</w:t>
            </w:r>
          </w:p>
        </w:tc>
      </w:tr>
    </w:tbl>
    <w:p>
      <w:pPr>
        <w:pStyle w:val="6"/>
        <w:rPr>
          <w:rFonts w:hint="default"/>
          <w:lang w:val="zh-CN"/>
        </w:rPr>
        <w:sectPr>
          <w:footerReference r:id="rId4" w:type="first"/>
          <w:footerReference r:id="rId3" w:type="default"/>
          <w:pgSz w:w="16838" w:h="11906" w:orient="landscape"/>
          <w:pgMar w:top="1800" w:right="1440" w:bottom="1800" w:left="1440" w:header="851" w:footer="850" w:gutter="0"/>
          <w:pgNumType w:fmt="decimal"/>
          <w:cols w:space="425" w:num="1"/>
          <w:titlePg/>
          <w:docGrid w:type="lines" w:linePitch="312" w:charSpace="0"/>
        </w:sect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 xml:space="preserve">— </w:t>
                          </w:r>
                          <w:r>
                            <w:rPr>
                              <w:rFonts w:hint="eastAsia" w:asciiTheme="minorEastAsia" w:hAnsiTheme="minorEastAsia" w:eastAsiaTheme="minorEastAsia" w:cstheme="minorEastAsia"/>
                              <w:b/>
                              <w:bCs/>
                              <w:sz w:val="24"/>
                              <w:szCs w:val="24"/>
                            </w:rPr>
                            <w:fldChar w:fldCharType="begin"/>
                          </w:r>
                          <w:r>
                            <w:rPr>
                              <w:rFonts w:hint="eastAsia" w:asciiTheme="minorEastAsia" w:hAnsiTheme="minorEastAsia" w:eastAsiaTheme="minorEastAsia" w:cstheme="minorEastAsia"/>
                              <w:b/>
                              <w:bCs/>
                              <w:sz w:val="24"/>
                              <w:szCs w:val="24"/>
                            </w:rPr>
                            <w:instrText xml:space="preserve"> PAGE  \* MERGEFORMAT </w:instrText>
                          </w:r>
                          <w:r>
                            <w:rPr>
                              <w:rFonts w:hint="eastAsia" w:asciiTheme="minorEastAsia" w:hAnsiTheme="minorEastAsia" w:eastAsiaTheme="minorEastAsia" w:cstheme="minorEastAsia"/>
                              <w:b/>
                              <w:bCs/>
                              <w:sz w:val="24"/>
                              <w:szCs w:val="24"/>
                            </w:rPr>
                            <w:fldChar w:fldCharType="separate"/>
                          </w:r>
                          <w:r>
                            <w:rPr>
                              <w:rFonts w:hint="eastAsia" w:asciiTheme="minorEastAsia" w:hAnsiTheme="minorEastAsia" w:eastAsiaTheme="minorEastAsia" w:cstheme="minorEastAsia"/>
                              <w:b/>
                              <w:bCs/>
                              <w:sz w:val="24"/>
                              <w:szCs w:val="24"/>
                            </w:rPr>
                            <w:t>2</w:t>
                          </w:r>
                          <w:r>
                            <w:rPr>
                              <w:rFonts w:hint="eastAsia" w:asciiTheme="minorEastAsia" w:hAnsiTheme="minorEastAsia" w:eastAsiaTheme="minorEastAsia" w:cstheme="minorEastAsia"/>
                              <w:b/>
                              <w:bCs/>
                              <w:sz w:val="24"/>
                              <w:szCs w:val="24"/>
                            </w:rPr>
                            <w:fldChar w:fldCharType="end"/>
                          </w:r>
                          <w:r>
                            <w:rPr>
                              <w:rFonts w:hint="eastAsia" w:asciiTheme="minorEastAsia" w:hAnsiTheme="minorEastAsia" w:eastAsiaTheme="minorEastAsia" w:cstheme="minorEastAsia"/>
                              <w:b/>
                              <w:bCs/>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 xml:space="preserve">— </w:t>
                    </w:r>
                    <w:r>
                      <w:rPr>
                        <w:rFonts w:hint="eastAsia" w:asciiTheme="minorEastAsia" w:hAnsiTheme="minorEastAsia" w:eastAsiaTheme="minorEastAsia" w:cstheme="minorEastAsia"/>
                        <w:b/>
                        <w:bCs/>
                        <w:sz w:val="24"/>
                        <w:szCs w:val="24"/>
                      </w:rPr>
                      <w:fldChar w:fldCharType="begin"/>
                    </w:r>
                    <w:r>
                      <w:rPr>
                        <w:rFonts w:hint="eastAsia" w:asciiTheme="minorEastAsia" w:hAnsiTheme="minorEastAsia" w:eastAsiaTheme="minorEastAsia" w:cstheme="minorEastAsia"/>
                        <w:b/>
                        <w:bCs/>
                        <w:sz w:val="24"/>
                        <w:szCs w:val="24"/>
                      </w:rPr>
                      <w:instrText xml:space="preserve"> PAGE  \* MERGEFORMAT </w:instrText>
                    </w:r>
                    <w:r>
                      <w:rPr>
                        <w:rFonts w:hint="eastAsia" w:asciiTheme="minorEastAsia" w:hAnsiTheme="minorEastAsia" w:eastAsiaTheme="minorEastAsia" w:cstheme="minorEastAsia"/>
                        <w:b/>
                        <w:bCs/>
                        <w:sz w:val="24"/>
                        <w:szCs w:val="24"/>
                      </w:rPr>
                      <w:fldChar w:fldCharType="separate"/>
                    </w:r>
                    <w:r>
                      <w:rPr>
                        <w:rFonts w:hint="eastAsia" w:asciiTheme="minorEastAsia" w:hAnsiTheme="minorEastAsia" w:eastAsiaTheme="minorEastAsia" w:cstheme="minorEastAsia"/>
                        <w:b/>
                        <w:bCs/>
                        <w:sz w:val="24"/>
                        <w:szCs w:val="24"/>
                      </w:rPr>
                      <w:t>2</w:t>
                    </w:r>
                    <w:r>
                      <w:rPr>
                        <w:rFonts w:hint="eastAsia" w:asciiTheme="minorEastAsia" w:hAnsiTheme="minorEastAsia" w:eastAsiaTheme="minorEastAsia" w:cstheme="minorEastAsia"/>
                        <w:b/>
                        <w:bCs/>
                        <w:sz w:val="24"/>
                        <w:szCs w:val="24"/>
                      </w:rPr>
                      <w:fldChar w:fldCharType="end"/>
                    </w:r>
                    <w:r>
                      <w:rPr>
                        <w:rFonts w:hint="eastAsia" w:asciiTheme="minorEastAsia" w:hAnsiTheme="minorEastAsia" w:eastAsiaTheme="minorEastAsia" w:cstheme="minorEastAsia"/>
                        <w:b/>
                        <w:bCs/>
                        <w:sz w:val="24"/>
                        <w:szCs w:val="24"/>
                      </w:rPr>
                      <w:t xml:space="preserve"> —</w:t>
                    </w:r>
                  </w:p>
                </w:txbxContent>
              </v:textbox>
            </v:shape>
          </w:pict>
        </mc:Fallback>
      </mc:AlternateContent>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 xml:space="preserve">— </w:t>
                          </w:r>
                          <w:r>
                            <w:rPr>
                              <w:rFonts w:hint="eastAsia" w:asciiTheme="minorEastAsia" w:hAnsiTheme="minorEastAsia" w:eastAsiaTheme="minorEastAsia" w:cstheme="minorEastAsia"/>
                              <w:b/>
                              <w:bCs/>
                              <w:sz w:val="24"/>
                              <w:szCs w:val="24"/>
                            </w:rPr>
                            <w:fldChar w:fldCharType="begin"/>
                          </w:r>
                          <w:r>
                            <w:rPr>
                              <w:rFonts w:hint="eastAsia" w:asciiTheme="minorEastAsia" w:hAnsiTheme="minorEastAsia" w:eastAsiaTheme="minorEastAsia" w:cstheme="minorEastAsia"/>
                              <w:b/>
                              <w:bCs/>
                              <w:sz w:val="24"/>
                              <w:szCs w:val="24"/>
                            </w:rPr>
                            <w:instrText xml:space="preserve"> PAGE  \* MERGEFORMAT </w:instrText>
                          </w:r>
                          <w:r>
                            <w:rPr>
                              <w:rFonts w:hint="eastAsia" w:asciiTheme="minorEastAsia" w:hAnsiTheme="minorEastAsia" w:eastAsiaTheme="minorEastAsia" w:cstheme="minorEastAsia"/>
                              <w:b/>
                              <w:bCs/>
                              <w:sz w:val="24"/>
                              <w:szCs w:val="24"/>
                            </w:rPr>
                            <w:fldChar w:fldCharType="separate"/>
                          </w:r>
                          <w:r>
                            <w:rPr>
                              <w:rFonts w:hint="eastAsia" w:asciiTheme="minorEastAsia" w:hAnsiTheme="minorEastAsia" w:eastAsiaTheme="minorEastAsia" w:cstheme="minorEastAsia"/>
                              <w:b/>
                              <w:bCs/>
                              <w:sz w:val="24"/>
                              <w:szCs w:val="24"/>
                            </w:rPr>
                            <w:t>1</w:t>
                          </w:r>
                          <w:r>
                            <w:rPr>
                              <w:rFonts w:hint="eastAsia" w:asciiTheme="minorEastAsia" w:hAnsiTheme="minorEastAsia" w:eastAsiaTheme="minorEastAsia" w:cstheme="minorEastAsia"/>
                              <w:b/>
                              <w:bCs/>
                              <w:sz w:val="24"/>
                              <w:szCs w:val="24"/>
                            </w:rPr>
                            <w:fldChar w:fldCharType="end"/>
                          </w:r>
                          <w:r>
                            <w:rPr>
                              <w:rFonts w:hint="eastAsia" w:asciiTheme="minorEastAsia" w:hAnsiTheme="minorEastAsia" w:eastAsiaTheme="minorEastAsia" w:cstheme="minorEastAsia"/>
                              <w:b/>
                              <w:bCs/>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 xml:space="preserve">— </w:t>
                    </w:r>
                    <w:r>
                      <w:rPr>
                        <w:rFonts w:hint="eastAsia" w:asciiTheme="minorEastAsia" w:hAnsiTheme="minorEastAsia" w:eastAsiaTheme="minorEastAsia" w:cstheme="minorEastAsia"/>
                        <w:b/>
                        <w:bCs/>
                        <w:sz w:val="24"/>
                        <w:szCs w:val="24"/>
                      </w:rPr>
                      <w:fldChar w:fldCharType="begin"/>
                    </w:r>
                    <w:r>
                      <w:rPr>
                        <w:rFonts w:hint="eastAsia" w:asciiTheme="minorEastAsia" w:hAnsiTheme="minorEastAsia" w:eastAsiaTheme="minorEastAsia" w:cstheme="minorEastAsia"/>
                        <w:b/>
                        <w:bCs/>
                        <w:sz w:val="24"/>
                        <w:szCs w:val="24"/>
                      </w:rPr>
                      <w:instrText xml:space="preserve"> PAGE  \* MERGEFORMAT </w:instrText>
                    </w:r>
                    <w:r>
                      <w:rPr>
                        <w:rFonts w:hint="eastAsia" w:asciiTheme="minorEastAsia" w:hAnsiTheme="minorEastAsia" w:eastAsiaTheme="minorEastAsia" w:cstheme="minorEastAsia"/>
                        <w:b/>
                        <w:bCs/>
                        <w:sz w:val="24"/>
                        <w:szCs w:val="24"/>
                      </w:rPr>
                      <w:fldChar w:fldCharType="separate"/>
                    </w:r>
                    <w:r>
                      <w:rPr>
                        <w:rFonts w:hint="eastAsia" w:asciiTheme="minorEastAsia" w:hAnsiTheme="minorEastAsia" w:eastAsiaTheme="minorEastAsia" w:cstheme="minorEastAsia"/>
                        <w:b/>
                        <w:bCs/>
                        <w:sz w:val="24"/>
                        <w:szCs w:val="24"/>
                      </w:rPr>
                      <w:t>1</w:t>
                    </w:r>
                    <w:r>
                      <w:rPr>
                        <w:rFonts w:hint="eastAsia" w:asciiTheme="minorEastAsia" w:hAnsiTheme="minorEastAsia" w:eastAsiaTheme="minorEastAsia" w:cstheme="minorEastAsia"/>
                        <w:b/>
                        <w:bCs/>
                        <w:sz w:val="24"/>
                        <w:szCs w:val="24"/>
                      </w:rPr>
                      <w:fldChar w:fldCharType="end"/>
                    </w:r>
                    <w:r>
                      <w:rPr>
                        <w:rFonts w:hint="eastAsia" w:asciiTheme="minorEastAsia" w:hAnsiTheme="minorEastAsia" w:eastAsiaTheme="minorEastAsia" w:cstheme="minorEastAsia"/>
                        <w:b/>
                        <w:bCs/>
                        <w:sz w:val="24"/>
                        <w:szCs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3MTQ2ZWZhMjEwZDBhMTFmNjlkNzRiMDY2MjY0YzEifQ=="/>
    <w:docVar w:name="KSO_WPS_MARK_KEY" w:val="a25e5734-7237-45d4-a8ae-dc79220e5a68"/>
  </w:docVars>
  <w:rsids>
    <w:rsidRoot w:val="78BE0631"/>
    <w:rsid w:val="78BE06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99"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customStyle="1" w:styleId="2">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paragraph" w:styleId="3">
    <w:name w:val="Body Text Indent"/>
    <w:basedOn w:val="1"/>
    <w:qFormat/>
    <w:uiPriority w:val="0"/>
    <w:pPr>
      <w:spacing w:after="120"/>
      <w:ind w:left="200" w:leftChars="200"/>
    </w:pPr>
    <w:rPr>
      <w:rFonts w:ascii="仿宋_GB2312"/>
      <w:szCs w:val="32"/>
    </w:rPr>
  </w:style>
  <w:style w:type="paragraph" w:styleId="4">
    <w:name w:val="footer"/>
    <w:basedOn w:val="1"/>
    <w:next w:val="1"/>
    <w:qFormat/>
    <w:uiPriority w:val="99"/>
    <w:pPr>
      <w:tabs>
        <w:tab w:val="center" w:pos="4153"/>
        <w:tab w:val="right" w:pos="8306"/>
      </w:tabs>
      <w:snapToGrid w:val="0"/>
      <w:jc w:val="left"/>
    </w:pPr>
    <w:rPr>
      <w:rFonts w:ascii="Calibri" w:hAnsi="Calibri"/>
      <w:kern w:val="0"/>
      <w:sz w:val="18"/>
      <w:szCs w:val="18"/>
    </w:rPr>
  </w:style>
  <w:style w:type="paragraph" w:styleId="5">
    <w:name w:val="header"/>
    <w:basedOn w:val="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6">
    <w:name w:val="footnote text"/>
    <w:basedOn w:val="1"/>
    <w:next w:val="1"/>
    <w:qFormat/>
    <w:uiPriority w:val="0"/>
    <w:pPr>
      <w:snapToGrid w:val="0"/>
      <w:jc w:val="left"/>
    </w:pPr>
    <w:rPr>
      <w:sz w:val="18"/>
      <w:szCs w:val="18"/>
    </w:rPr>
  </w:style>
  <w:style w:type="paragraph" w:styleId="7">
    <w:name w:val="Body Text First Indent 2"/>
    <w:basedOn w:val="3"/>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2024-09-02T09:03:00Z</dcterms:created>
  <dc:creator>Lenovo</dc:creator>
  <cp:lastModifiedBy>Lenovo</cp:lastModifiedBy>
  <dcterms:modified xsi:type="dcterms:W3CDTF">2024-09-02T09:04:25Z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5A2FE24DECFC47F6A2E722119374679E</vt:lpwstr>
  </property>
</Properties>
</file>