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仿宋"/>
          <w:b/>
          <w:bCs/>
          <w:sz w:val="34"/>
          <w:szCs w:val="34"/>
        </w:rPr>
      </w:pPr>
      <w:r>
        <w:rPr>
          <w:rFonts w:hint="eastAsia" w:ascii="黑体" w:hAnsi="黑体" w:eastAsia="黑体" w:cs="仿宋"/>
          <w:b/>
          <w:bCs/>
          <w:sz w:val="34"/>
          <w:szCs w:val="34"/>
        </w:rPr>
        <w:t xml:space="preserve">附件1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7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2019年全省干部教育培训“好教材、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好课程、好案例”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shd w:val="clear" w:color="auto" w:fill="FFFFFF"/>
        </w:rPr>
        <w:t>拟入选项目名单</w:t>
      </w:r>
    </w:p>
    <w:p>
      <w:pPr>
        <w:spacing w:line="600" w:lineRule="exact"/>
        <w:jc w:val="center"/>
        <w:rPr>
          <w:rFonts w:ascii="黑体" w:hAnsi="黑体" w:eastAsia="黑体" w:cs="黑体"/>
          <w:b/>
          <w:bCs/>
          <w:color w:val="000000"/>
          <w:kern w:val="0"/>
          <w:sz w:val="44"/>
          <w:szCs w:val="44"/>
          <w:shd w:val="clear" w:color="auto" w:fill="FFFFFF"/>
        </w:rPr>
      </w:pPr>
    </w:p>
    <w:tbl>
      <w:tblPr>
        <w:tblStyle w:val="2"/>
        <w:tblW w:w="9068" w:type="dxa"/>
        <w:tblInd w:w="-2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3"/>
        <w:gridCol w:w="1814"/>
        <w:gridCol w:w="641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tblHeader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作品名称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好教材（共8门）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新时代治蜀兴川系列研究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贯彻新发展理念的成都实践系列干部培训教材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开局之局——中国第一个行政审批局的探索与实践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遂宁：“自然生长”的海绵城市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科技厅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新时代四川大众创业万众创新案例精选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基层社会治理的四川实践创新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阿坝州委组织部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安多藏语会话教材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公园城市的乡村表达——川西林盘发展治理的崇州实践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好课程（共30门）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绵阳市委组织部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《国魂》话剧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内江市委组织部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沉到一线抓村  推动村党组织和党员在发展特色产业、整治人居环境等重大任务中发挥作用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不忘初心、牢记使命的时代内涵和实践路径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践行习近平新时代中国特色社会主义经济思想—深入推进供给侧结构性改革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新时代坚持我国宗教中国化方向的理论与实践路径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防范化解“灰犀牛”事件危机—A校食堂管理事件解析与思考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甘孜州委组织部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怎样当好一名驻村干部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西南财经大学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习近平新时代中国特色社会主义经济思想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新时代国家监察权的有效运行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攀枝花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资源型城市转型与攀枝花可持续发展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省社会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主义学院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中华民族伟大复兴与新时代统一战线历史使命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实施乡村振兴战略的四川实践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“一带一路”背景下以制度型开放促区域经济协同发展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农业农村厅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打造四川特色鲜明的现代版“富春山居图”——推进乡村艺术化发展研究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攀枝花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不忘初心，弘扬三线精神  牢记使命，争做优秀共产党员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学习贯彻习近平总书记对四川工作系列重要指示精神，推进治蜀兴川再上新台阶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阿坝州委组织部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长征时期党的统一战线思想在阿坝地区的实践与启示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宜宾市委组织部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关于司法责任制改革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凉山州委组织部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传承和弘扬长征精神 坚定理想信念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“一带一路”建设与治蜀兴川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广元市委组织部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中国红军城的红色记忆与精神传承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资阳市委组织部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强化品牌建设 助力城市发展——以打造“资味”品牌为例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自贡市委组织部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共产党人的初心与自信——从历史文献中寻找前辈建设新盐都的足迹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雅安市委组织部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运用国学智慧加强党性修养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阿坝州委组织部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“一个拳头不能选出两个中央”——长征途中反张国焘分裂斗争的历史与警示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达州市委组织部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新媒体时代涉警舆情的特点规律和应对处置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广安市委组织部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邓小平的历史贡献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省直机关工委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学习贯彻《中国共产党支部工作条例（试行）》 切实加强机关基层组织建设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应急管理厅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多快好省、科学履职、共享安全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科技厅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讲政治 敢担当 在知行合一中锤炼好的作风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9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好案例（50个）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39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商务厅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四川自贸试验区“铁路+”多式联运一单制改革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省社科院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泸州老窖集团走出了一条“造血式”扶贫的发展道路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四川省营山县以智慧检务打造“群众家门口的检察院”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攀枝花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基于农业科技的脱贫致富产业新模式——福田模式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新型显示（OLED技术）产业生态圈发展及典型案例研究——以成都中电熊猫项目为例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泸州市委组织部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深化土地制度改革 加快推动乡村振兴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科技厅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探索开展职务科技成果权属混合所有制改革试点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自贡市委组织部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创新“道德银行”新模式，探索社区治理新路径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打造省内党性教育五条精品线路的探索与实践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关于郫都区农村集体经营性建设用地入市改革试点案例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眉山市委组织部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组织联建党旗红  相融互促产业兴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打造特色鲜明的“熊猫党建”品牌——中国大熊猫保护研究中心特色党建品牌建设实践与启示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绵阳市委组织部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以农村改革创新助推脱贫奔小康实践——以绵阳市农村综合改革试验区为例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德阳市委组织部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农村集体产权制度改革的“友谊模式”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内江市委组织部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探索“网格建支部” 创新“四大”体系深化党建引领城市基层治理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遂宁市全媒体直播节目阳光问廉案例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绵阳市委组织部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汇聚乡贤力量 助力乡村治理——绵阳市游仙区东宣镇乡贤参事会运行纪实及思考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德阳市委组织部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国企改革——中国二重重整、转型之“涅槃重生”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内江市委组织部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党报党旗红 转型争先锋 ——内江日报社创新“党建+”探索地市党报转型发展的实践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省社会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主义学院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崇州市“基层协商助力乡村振兴”系列案例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遂宁市安居区跨省组建农民工“党建联盟”有效促进农民工党员教育管理服务的实践探索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攀枝花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党旗引领“康养+产业”发展壮大集体经济脱贫奔康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省直机关党校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中层设计：基层协商民主的制度化探索—对成都彭州市社会协商对话的考察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南充市委组织部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绣好一针一线  不落一户一人——南部县创新“六大机制”坚决打赢精准脱贫攻坚战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广安市委组织部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打造网络集中核算平台 提升财政财务监管实效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达州市委组织部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进一家门  解所有难--达川区创新建立社会救助大平台的探索实践（入选中组部示范教学案例）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“贫困村”到“全国最美休闲乡村”的蜕变——成都五星村脱贫攻坚的实践探索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广元市委组织部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“五道加法”做大做强红心猕猴桃产业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宜宾市委组织部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宜宾临港国家级经济技术开发区高质量发展的“五个密码”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雅安市委组织部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突出组织引领  激发内生动力——汉源县“算账工作法”助推基层党建与脱贫攻坚同频共振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69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凉山州委组织部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长板桥村彝家民俗旅游唱响脱贫奔康新篇章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泸州市委组织部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“文化+旅游+扶贫”，推动旅游产业发展----尧坝旅游产业发展思考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阿坝州委组织部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阿坝州开发红色资源进行思想政治教育的实践探索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宜宾市委组织部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传承好家风  共筑家国梦——宜宾市南溪区巴蜀家风传承示范基地建设的实践案例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宜宾市委组织部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江安创建全国“平安先进县”的做法、成效和启示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广安市委组织部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四川省各民主党派建设学习实践活动武胜基地工作纪实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省社科院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华阳街道安公社区创新实施“五线”工作法广泛凝聚社区发展治理强大合力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广元市委组织部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电商为“媒”  远山“结亲”——龙泉·昭化东西部扶贫协作助推农村电商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自贡市委组织部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落实“双创”战略  助力县域经济协调发展——富顺县农民工返乡创业发展新摸式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达州市委组织部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宣汉县实施巴山大峡谷旅游扶贫案例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79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凉山州委组织部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大凉山巴姑村党建引领走上振兴路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巴中市委组织部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党建引领扶贫  六大行动脱贫——巴中市“1+6”精准扶贫的探索与实践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甘孜州委组织部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理塘县“飞地”产业扶贫好案例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省委党校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旅游扶贫“增”活力，乡村振兴“展”新颜——黑水县“三微”促“三态”建设探索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遂宁市开展选拔职业村支书试点工作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资阳市委组织部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“幸福超市”解锁“幸福密码”——乐至县探索激发贫困群众内生动力实践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设计点亮乡村  助力乡村振兴——大邑县幸福公社建设美丽乡村  让幸福回归田园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成都市委组织部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清源社区：治理有序</w:t>
            </w:r>
            <w:r>
              <w:rPr>
                <w:rStyle w:val="4"/>
                <w:rFonts w:hint="default"/>
                <w:b/>
                <w:bCs/>
                <w:sz w:val="24"/>
                <w:szCs w:val="24"/>
              </w:rPr>
              <w:t>开发有力发展有魂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甘孜州委组织部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泸定县全力打造大渡河流域乡村振兴示范区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88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广元市委组织部</w:t>
            </w:r>
          </w:p>
        </w:tc>
        <w:tc>
          <w:tcPr>
            <w:tcW w:w="6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借绿水青山  走文农旅融合之道</w:t>
            </w:r>
          </w:p>
        </w:tc>
      </w:tr>
    </w:tbl>
    <w:p>
      <w:pPr>
        <w:spacing w:line="596" w:lineRule="exact"/>
        <w:rPr>
          <w:rFonts w:ascii="仿宋" w:hAnsi="仿宋" w:eastAsia="仿宋" w:cs="仿宋"/>
          <w:b/>
          <w:bCs/>
          <w:sz w:val="34"/>
          <w:szCs w:val="34"/>
        </w:rPr>
      </w:pPr>
    </w:p>
    <w:p>
      <w:pPr>
        <w:widowControl/>
        <w:jc w:val="left"/>
      </w:pPr>
    </w:p>
    <w:p/>
    <w:sectPr>
      <w:pgSz w:w="11906" w:h="16838"/>
      <w:pgMar w:top="2098" w:right="1531" w:bottom="1984" w:left="1531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268B"/>
    <w:rsid w:val="2649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2019-09-23T03:44:00Z</dcterms:created>
  <dc:creator>Babel</dc:creator>
  <cp:lastModifiedBy>Babel</cp:lastModifiedBy>
  <dcterms:modified xsi:type="dcterms:W3CDTF">2019-09-23T03:45:02Z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